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center"/>
        <w:rPr>
          <w:rFonts w:ascii="仿宋" w:hAnsi="仿宋" w:eastAsia="方正小标宋简体" w:cs="仿宋"/>
          <w:sz w:val="32"/>
          <w:szCs w:val="32"/>
        </w:rPr>
      </w:pPr>
      <w:bookmarkStart w:id="0" w:name="_GoBack"/>
      <w:r>
        <w:rPr>
          <w:rFonts w:hint="eastAsia" w:ascii="方正小标宋简体" w:hAnsi="方正小标宋简体" w:eastAsia="方正小标宋简体" w:cs="方正小标宋简体"/>
          <w:sz w:val="44"/>
          <w:szCs w:val="44"/>
          <w:lang w:eastAsia="zh-CN"/>
        </w:rPr>
        <w:t>兴发大厦</w:t>
      </w:r>
      <w:r>
        <w:rPr>
          <w:rFonts w:hint="eastAsia" w:ascii="方正小标宋简体" w:hAnsi="方正小标宋简体" w:eastAsia="方正小标宋简体" w:cs="方正小标宋简体"/>
          <w:sz w:val="44"/>
          <w:szCs w:val="44"/>
        </w:rPr>
        <w:t>房屋租赁合同</w:t>
      </w:r>
    </w:p>
    <w:bookmarkEnd w:id="0"/>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仿宋" w:hAnsi="仿宋" w:eastAsia="仿宋" w:cs="仿宋"/>
          <w:sz w:val="32"/>
          <w:szCs w:val="32"/>
        </w:rPr>
        <w:t>(编号:GTZC-</w:t>
      </w:r>
      <w:r>
        <w:rPr>
          <w:rFonts w:hint="eastAsia" w:ascii="仿宋" w:hAnsi="仿宋" w:eastAsia="仿宋" w:cs="仿宋"/>
          <w:sz w:val="32"/>
          <w:szCs w:val="32"/>
          <w:u w:val="none"/>
        </w:rPr>
        <w:t>20</w:t>
      </w:r>
      <w:r>
        <w:rPr>
          <w:rFonts w:hint="eastAsia" w:ascii="仿宋" w:hAnsi="仿宋" w:eastAsia="仿宋" w:cs="仿宋"/>
          <w:sz w:val="32"/>
          <w:szCs w:val="32"/>
          <w:u w:val="none"/>
          <w:lang w:val="en-US" w:eastAsia="zh-CN"/>
        </w:rPr>
        <w:t>21</w:t>
      </w: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016</w:t>
      </w:r>
      <w:r>
        <w:rPr>
          <w:rFonts w:hint="eastAsia" w:ascii="仿宋" w:hAnsi="仿宋" w:eastAsia="仿宋" w:cs="仿宋"/>
          <w:sz w:val="32"/>
          <w:szCs w:val="32"/>
        </w:rPr>
        <w:t>)</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甲方（出租方）:龙岩市</w:t>
      </w:r>
      <w:r>
        <w:rPr>
          <w:rFonts w:hint="eastAsia" w:ascii="仿宋" w:hAnsi="仿宋" w:eastAsia="仿宋" w:cs="仿宋"/>
          <w:sz w:val="32"/>
          <w:szCs w:val="32"/>
          <w:lang w:eastAsia="zh-CN"/>
        </w:rPr>
        <w:t>国有资产投资经营有限公司</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法定代表人:</w:t>
      </w:r>
      <w:r>
        <w:rPr>
          <w:rFonts w:hint="eastAsia" w:ascii="仿宋" w:hAnsi="仿宋" w:eastAsia="仿宋" w:cs="仿宋"/>
          <w:sz w:val="32"/>
          <w:szCs w:val="32"/>
          <w:lang w:eastAsia="zh-CN"/>
        </w:rPr>
        <w:t>吴沂隆</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统一社会信用代码:91350800</w:t>
      </w:r>
      <w:r>
        <w:rPr>
          <w:rFonts w:hint="eastAsia" w:ascii="仿宋" w:hAnsi="仿宋" w:eastAsia="仿宋" w:cs="仿宋"/>
          <w:sz w:val="32"/>
          <w:szCs w:val="32"/>
          <w:lang w:val="en-US" w:eastAsia="zh-CN"/>
        </w:rPr>
        <w:t>7356626032</w:t>
      </w:r>
    </w:p>
    <w:p>
      <w:pPr>
        <w:pStyle w:val="10"/>
        <w:keepNext w:val="0"/>
        <w:keepLines w:val="0"/>
        <w:pageBreakBefore w:val="0"/>
        <w:widowControl/>
        <w:kinsoku/>
        <w:wordWrap/>
        <w:overflowPunct/>
        <w:topLinePunct w:val="0"/>
        <w:autoSpaceDE/>
        <w:autoSpaceDN/>
        <w:bidi w:val="0"/>
        <w:adjustRightInd/>
        <w:snapToGrid/>
        <w:spacing w:line="500" w:lineRule="exact"/>
        <w:ind w:left="960" w:hanging="960" w:hangingChars="3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住所: 福建省龙岩市新罗区西陂街道龙岩大道260号K栋</w:t>
      </w:r>
      <w:r>
        <w:rPr>
          <w:rFonts w:hint="eastAsia" w:ascii="仿宋" w:hAnsi="仿宋" w:eastAsia="仿宋" w:cs="仿宋"/>
          <w:sz w:val="32"/>
          <w:szCs w:val="32"/>
          <w:lang w:val="en-US" w:eastAsia="zh-CN"/>
        </w:rPr>
        <w:t>13层</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乙方（承租方）:</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法定代表人:</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统一社会信用代码</w:t>
      </w:r>
      <w:r>
        <w:rPr>
          <w:rFonts w:hint="eastAsia" w:ascii="仿宋" w:hAnsi="仿宋" w:eastAsia="仿宋" w:cs="仿宋"/>
          <w:sz w:val="32"/>
          <w:szCs w:val="32"/>
          <w:lang w:val="en-US" w:eastAsia="zh-CN"/>
        </w:rPr>
        <w:t>/身份证号码</w:t>
      </w:r>
      <w:r>
        <w:rPr>
          <w:rFonts w:hint="eastAsia" w:ascii="仿宋" w:hAnsi="仿宋" w:eastAsia="仿宋" w:cs="仿宋"/>
          <w:sz w:val="32"/>
          <w:szCs w:val="32"/>
        </w:rPr>
        <w:t>:</w:t>
      </w:r>
    </w:p>
    <w:p>
      <w:pPr>
        <w:pStyle w:val="10"/>
        <w:keepNext w:val="0"/>
        <w:keepLines w:val="0"/>
        <w:pageBreakBefore w:val="0"/>
        <w:widowControl/>
        <w:kinsoku/>
        <w:wordWrap/>
        <w:overflowPunct/>
        <w:topLinePunct w:val="0"/>
        <w:autoSpaceDE/>
        <w:autoSpaceDN/>
        <w:bidi w:val="0"/>
        <w:adjustRightInd/>
        <w:snapToGrid/>
        <w:spacing w:line="500" w:lineRule="exact"/>
        <w:ind w:left="2560" w:hanging="2560" w:hangingChars="800"/>
        <w:textAlignment w:val="auto"/>
        <w:rPr>
          <w:rFonts w:ascii="仿宋" w:hAnsi="仿宋" w:eastAsia="仿宋" w:cs="仿宋"/>
          <w:sz w:val="32"/>
          <w:szCs w:val="32"/>
        </w:rPr>
      </w:pPr>
      <w:r>
        <w:rPr>
          <w:rFonts w:hint="eastAsia" w:ascii="仿宋" w:hAnsi="仿宋" w:eastAsia="仿宋" w:cs="仿宋"/>
          <w:sz w:val="32"/>
          <w:szCs w:val="32"/>
        </w:rPr>
        <w:t>住所</w:t>
      </w:r>
      <w:r>
        <w:rPr>
          <w:rFonts w:hint="eastAsia" w:ascii="仿宋" w:hAnsi="仿宋" w:eastAsia="仿宋" w:cs="仿宋"/>
          <w:sz w:val="32"/>
          <w:szCs w:val="32"/>
          <w:lang w:val="en-US" w:eastAsia="zh-CN"/>
        </w:rPr>
        <w:t>/固定地址</w:t>
      </w:r>
      <w:r>
        <w:rPr>
          <w:rFonts w:hint="eastAsia" w:ascii="仿宋" w:hAnsi="仿宋" w:eastAsia="仿宋" w:cs="仿宋"/>
          <w:sz w:val="32"/>
          <w:szCs w:val="32"/>
        </w:rPr>
        <w:t xml:space="preserve">: </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经甲、乙双方平等、自愿协商，就甲方房屋出租给乙方使用事宜，为明确双方权利义务，自觉诚实履行，依据《中华人民共和国民法典》、《中华人民共和国房地产管理法》等有关法律法规之规定达成如下一致意见。</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第一章  主体</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乙方承诺：乙方事先已经获得且研究过本合同条款，并参加由中介机构以法定程序举办的公开竞价招租会,符合甲方招租条件，</w:t>
      </w:r>
      <w:r>
        <w:rPr>
          <w:rFonts w:hint="eastAsia" w:ascii="仿宋" w:hAnsi="仿宋" w:eastAsia="仿宋" w:cs="仿宋"/>
          <w:color w:val="auto"/>
          <w:sz w:val="32"/>
          <w:szCs w:val="32"/>
        </w:rPr>
        <w:t>取得相关房屋的租赁权，</w:t>
      </w:r>
      <w:r>
        <w:rPr>
          <w:rFonts w:hint="eastAsia" w:ascii="仿宋" w:hAnsi="仿宋" w:eastAsia="仿宋" w:cs="仿宋"/>
          <w:sz w:val="32"/>
          <w:szCs w:val="32"/>
        </w:rPr>
        <w:t>不但自觉遵守并履行本合同，而且还接受管理机构的商务及物业管理。</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第二章  租赁标的物</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甲方将坐落于</w:t>
      </w:r>
      <w:r>
        <w:rPr>
          <w:rFonts w:hint="eastAsia" w:ascii="仿宋" w:hAnsi="仿宋" w:eastAsia="仿宋" w:cs="仿宋"/>
          <w:sz w:val="32"/>
          <w:szCs w:val="32"/>
          <w:u w:val="single"/>
        </w:rPr>
        <w:t xml:space="preserve"> 龙岩市新罗区</w:t>
      </w:r>
      <w:r>
        <w:rPr>
          <w:rFonts w:hint="eastAsia" w:ascii="仿宋" w:hAnsi="仿宋" w:eastAsia="仿宋" w:cs="仿宋"/>
          <w:sz w:val="32"/>
          <w:szCs w:val="32"/>
          <w:u w:val="single"/>
          <w:lang w:eastAsia="zh-CN"/>
        </w:rPr>
        <w:t>南城溪畔路</w:t>
      </w:r>
      <w:r>
        <w:rPr>
          <w:rFonts w:hint="eastAsia" w:ascii="仿宋" w:hAnsi="仿宋" w:eastAsia="仿宋" w:cs="仿宋"/>
          <w:sz w:val="32"/>
          <w:szCs w:val="32"/>
          <w:u w:val="single"/>
          <w:lang w:val="en-US" w:eastAsia="zh-CN"/>
        </w:rPr>
        <w:t>7号(兴发大厦)   号店（门牌号：   ）</w:t>
      </w:r>
      <w:r>
        <w:rPr>
          <w:rFonts w:hint="eastAsia" w:ascii="仿宋" w:hAnsi="仿宋" w:eastAsia="仿宋" w:cs="仿宋"/>
          <w:sz w:val="32"/>
          <w:szCs w:val="32"/>
          <w:u w:val="single"/>
        </w:rPr>
        <w:t xml:space="preserve"> </w:t>
      </w:r>
      <w:r>
        <w:rPr>
          <w:rFonts w:hint="eastAsia" w:ascii="仿宋" w:hAnsi="仿宋" w:eastAsia="仿宋" w:cs="仿宋"/>
          <w:sz w:val="32"/>
          <w:szCs w:val="32"/>
        </w:rPr>
        <w:t>出租给乙方，该房屋建筑面积约为</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平方米</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用于商业经营</w:t>
      </w:r>
      <w:r>
        <w:rPr>
          <w:rFonts w:hint="eastAsia" w:ascii="仿宋" w:hAnsi="仿宋" w:eastAsia="仿宋" w:cs="仿宋"/>
          <w:sz w:val="32"/>
          <w:szCs w:val="32"/>
        </w:rPr>
        <w:t>。</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租赁范围仅限于所租房屋内专有部分的面积及其室内配套设施。消防、外墙、楼顶、地下室、通道、停车场等不属于本合同项下的租赁范围。</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黑体" w:hAnsi="黑体" w:eastAsia="黑体" w:cs="黑体"/>
          <w:sz w:val="32"/>
          <w:szCs w:val="32"/>
        </w:rPr>
        <w:t>第三章  租金及期限</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租赁期限：</w:t>
      </w:r>
      <w:r>
        <w:rPr>
          <w:rFonts w:hint="eastAsia" w:ascii="仿宋" w:hAnsi="仿宋" w:eastAsia="仿宋" w:cs="仿宋"/>
          <w:sz w:val="32"/>
          <w:szCs w:val="32"/>
          <w:u w:val="single"/>
        </w:rPr>
        <w:t xml:space="preserve"> 三 </w:t>
      </w:r>
      <w:r>
        <w:rPr>
          <w:rFonts w:hint="eastAsia" w:ascii="仿宋" w:hAnsi="仿宋" w:eastAsia="仿宋" w:cs="仿宋"/>
          <w:sz w:val="32"/>
          <w:szCs w:val="32"/>
        </w:rPr>
        <w:t>年，即自</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w:t>
      </w:r>
      <w:r>
        <w:rPr>
          <w:rFonts w:hint="eastAsia" w:ascii="仿宋" w:hAnsi="仿宋" w:eastAsia="仿宋" w:cs="仿宋"/>
          <w:sz w:val="32"/>
          <w:szCs w:val="32"/>
          <w:lang w:val="en-US" w:eastAsia="zh-CN"/>
        </w:rPr>
        <w:t>起</w:t>
      </w:r>
      <w:r>
        <w:rPr>
          <w:rFonts w:hint="eastAsia" w:ascii="仿宋" w:hAnsi="仿宋" w:eastAsia="仿宋" w:cs="仿宋"/>
          <w:sz w:val="32"/>
          <w:szCs w:val="32"/>
        </w:rPr>
        <w:t>至</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日止。</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租金标准：每月租金为人民币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元，含税），按季缴交，自甲方移交房屋之日起开始计算。租金按日折算的，以每年360日，每月30日计算；甲方根据实际收到的租金向乙方开具增值税发票，乙方可以凭有效的书面租金交纳证明材料在正常工作日到甲方办公地换取发票。</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租金交付方式：乙方在本合同签订时缴交第一期租金人民币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日期间），以后在每季季初（即每年1、4、7、10月）10日前缴交当季租金，计人民币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元）。乙方缴纳租金采用存现或转账方式支付到甲方指定账户：</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户  名:龙岩市</w:t>
      </w:r>
      <w:r>
        <w:rPr>
          <w:rFonts w:hint="eastAsia" w:ascii="仿宋" w:hAnsi="仿宋" w:eastAsia="仿宋" w:cs="仿宋"/>
          <w:sz w:val="32"/>
          <w:szCs w:val="32"/>
          <w:lang w:eastAsia="zh-CN"/>
        </w:rPr>
        <w:t>国有资产投资经营有限公司</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开户行：兴业银行</w:t>
      </w:r>
      <w:r>
        <w:rPr>
          <w:rFonts w:hint="eastAsia" w:ascii="仿宋" w:hAnsi="仿宋" w:eastAsia="仿宋" w:cs="仿宋"/>
          <w:sz w:val="32"/>
          <w:szCs w:val="32"/>
          <w:lang w:eastAsia="zh-CN"/>
        </w:rPr>
        <w:t>龙岩分</w:t>
      </w:r>
      <w:r>
        <w:rPr>
          <w:rFonts w:hint="eastAsia" w:ascii="仿宋" w:hAnsi="仿宋" w:eastAsia="仿宋" w:cs="仿宋"/>
          <w:sz w:val="32"/>
          <w:szCs w:val="32"/>
        </w:rPr>
        <w:t>行</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账  号: 1710 1010 </w:t>
      </w:r>
      <w:r>
        <w:rPr>
          <w:rFonts w:hint="eastAsia" w:ascii="仿宋" w:hAnsi="仿宋" w:eastAsia="仿宋" w:cs="仿宋"/>
          <w:sz w:val="32"/>
          <w:szCs w:val="32"/>
          <w:lang w:val="en-US" w:eastAsia="zh-CN"/>
        </w:rPr>
        <w:t>1400  0059 09</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甲方账户发生变动的另行通知。乙方将租金转至非指定账户，甲方不予认可。</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第四章  装饰装修及维护使用</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乙方对租赁物的装饰装修必须严格按照我国有关特种设备、安全生产、消防等相关法规及技术标准或规范要求。</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乙方对租赁物进行装修，不得破坏租赁物的主体结构，不得因装修原因给租赁物的使用造成结构上的危险和其他隐患，不得擅自更改现有供电电路和供水、供暖、空调管线、通风管、排污管等。</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若乙方因装修需要拆除室内墙体或改变整体布局应先取得甲方书面同意后方可施工；并且乙方的装修设计和施工应当符合国家法律、法规和相关城市管理的规定，不得影响市容市貌和对租赁物以外的其他业主构成伤害。</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装饰装修施工过程中产生的建筑垃圾由乙方清运。工程完毕后，乙方须报请甲方及其他职权机关（如消防、物业管理单位等）验收合格后方可投入使用。</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xml:space="preserve"> 乙方负有对租赁物及其附属设施（含室内及通道部分的消防等设施）进行日常管理使用和正常修缮的义务，对租赁物在日常管理使用过程中出现损坏的（含第三人的原因导致损坏），乙方必须及时修复</w:t>
      </w:r>
      <w:r>
        <w:rPr>
          <w:rFonts w:hint="eastAsia" w:ascii="仿宋" w:hAnsi="仿宋" w:eastAsia="仿宋" w:cs="仿宋"/>
          <w:sz w:val="32"/>
          <w:szCs w:val="32"/>
          <w:lang w:eastAsia="zh-CN"/>
        </w:rPr>
        <w:t>，</w:t>
      </w:r>
      <w:r>
        <w:rPr>
          <w:rFonts w:hint="eastAsia" w:ascii="仿宋" w:hAnsi="仿宋" w:eastAsia="仿宋" w:cs="仿宋"/>
          <w:sz w:val="32"/>
          <w:szCs w:val="32"/>
        </w:rPr>
        <w:t>并承担由此发生的维修费用，租赁物主体结构的建筑质量问题除外，但乙方原因造成的主体结构性损坏的，维修费用由乙方承担；乙方对租赁物负有发现和排除隐患的义务，乙方发现建筑物主体结构质量问题应立即书面告知甲方。</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若乙方未能及时修复，并经甲方书面催告后在合理期限内仍未修复的，甲方或甲方委托的物业管理单位可自行组织力量修复，所产生的费用由乙方承担；甲方或甲方委托的物业管理单位将按实际费用的1.5倍向乙方追偿。</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租赁期满或因其他原因合同被终止或解除时，乙方应在终止或解除之日起七天内将其物品全部搬出，并按乙方正常使用现状，且设施、设备完好安全，且清洁干净后将租赁物及其他设施交还甲方。逾期不腾房移交的，所遗留物品（含装修装饰部分）视为乙方的遗弃物，甲方有权处置，处置费用由乙方承担。</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第五章  双方权利义务</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甲方及物业管理单位有权监督乙方对租赁房屋的安全、合理使用情况和守法经营情况，有权制订有关商务管理规则、物业管理条约等公共秩序、卫生管理制度，并不定期检查其执行情况。</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租赁期间，甲方有权将租赁物依法进行出卖或设置抵押权，但必须提前三十天书面告知乙方，同等条件下乙方有优先购买权；逾期乙方未回应或不投标竞买的视为放弃优先购买权。租赁物所有权发生变动的，不影响租赁合同的效力。</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xml:space="preserve"> 乙方接到甲方需进入乙方租赁房屋范围内进行作业或检查通知时，乙方应及时做好安排并配合完成。</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xml:space="preserve"> 乙方对租赁房屋的安全、合理使用情况负有谨慎义务，承担其因违反安全、综治等相关规定造成的一切损失责任；如因乙方原因造成甲方财物损失的，乙方应恢复原状或给予赔偿。</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乙方所租房屋按本合同约定用途使用，不得用于非法活动，也不得改变租赁物的用途，租赁期间未经甲方书面同意不得向他人转租、分租、转借、抵押。</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乙方若确因个人原因，拟将租赁房屋转租的，必须经与甲方协商并取得甲方书面同意的方可转租。转租合同约定的内容不得违反本合同约定（含用途等），并将转租合同副本及相关证明资料自发生之日起七天内提交给甲方。</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在任何情况下，乙方不得在租赁房屋内储藏、放置任何易燃易爆及有毒的物品及材料。</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乙方不得在通道等公共部位留置任何物品或垃圾，否则作遗弃物处理，乙方因此造成的损失，甲方不负任何责任。</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乙方必须连续承租六个月以上方可提出解除合同请求。因自身原因需要提前解除合同的，应当提前六十天书面通知甲方，经甲方同意的，合同解除。乙方若提前解除合同的，甲方有权不退还其交付的履约保证金。</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xml:space="preserve"> 合同期内乙方无违约行为，合同期满后拟续租的，在同等条件下，乙方具有优先承租权，乙方在履行本合同过程中曾拖欠租金、水电费、卫生费、物业费等其他费用的，合同期满后拟续租时不得享有优先承租权，且甲方有权视情节严重拒绝乙方进场竞租。</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租赁期间，乙方必须注意防火、用电等安全，认真执行消防等法律、法规等相关规定，对安全承担全部责任，必须做好相关人员安全宣传教育、日常安全检查和安全预防等各项工作，确保消防等安全措施到位。乙方因火灾或其他原因损害承租户的房产或相邻其他房产等财产的，甲方可以立即解除合同，并要求乙方赔偿全部损失。此外乙方还应按本合同的其他约定承担相关的责任，造成甲方对第三人承担责任的，甲方可以向乙方追偿。</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黑体" w:hAnsi="黑体" w:eastAsia="黑体" w:cs="黑体"/>
          <w:sz w:val="32"/>
          <w:szCs w:val="32"/>
        </w:rPr>
        <w:t>第六章  担保</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第二十二条 </w:t>
      </w:r>
      <w:r>
        <w:rPr>
          <w:rFonts w:hint="eastAsia" w:ascii="仿宋" w:hAnsi="仿宋" w:eastAsia="仿宋" w:cs="仿宋"/>
          <w:sz w:val="32"/>
          <w:szCs w:val="32"/>
        </w:rPr>
        <w:t>签订本合同时，乙方应先向甲方支付履约保证金人民币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 xml:space="preserve"> 元）。</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若乙方有违反本合同约定时，甲方有权不予返还履约保证金，且履约保证金不冲抵违约金。在租赁期内无违约，且乙方办妥退租手续，交还租赁物并结清所有相关费用后的十个工作日内，乙方凭保证金收据到甲方住所地办理履约保证金退款手续，予以退还（不计息）。</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第七章  特别约定</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乙方租赁期间所产生的物业费、水电费、通讯费、公摊费用等依法应当由乙方承担的费用，由乙方支付。</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乙方租赁过程中与他人发生纠纷，或因第三人的原因，导致他人对租赁房产和甲方其他财产损害的，乙方应承担连带赔偿责任。</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出现下列情况可提前解除合同，互不追究违约责任：</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1.双方协商一致，达成解除协议的；</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出现严重自然灾害事件（如地震、洪水、台风等）导致租赁房屋主体结构损毁或无法使用，且甲方无法在六个月内将损毁恢复时，甲、乙任何一方均可向对方发出书面通知，要求解除合同；在此情况下，双方均无需向对方承担任何违约责任。</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3.由于城市功能区划改变、法令、战争等政府行为致使该租赁房屋无法继续租赁的，双方可解除合同，结清费用后互不追究责任。</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4.租赁期间，如遇政府征用、征收租赁物的，本合同应当解除，乙方不得提出异议或向有关部门申述，搬迁补偿费用归甲方所有。</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经甲方书面许可乙方转租的，乙方必须如实履行许可承诺，并将转租合同报经甲方审查批准同意后方为有效。</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仿宋" w:hAnsi="仿宋" w:eastAsia="仿宋" w:cs="仿宋"/>
          <w:sz w:val="32"/>
          <w:szCs w:val="32"/>
        </w:rPr>
      </w:pPr>
      <w:r>
        <w:rPr>
          <w:rFonts w:hint="eastAsia" w:ascii="黑体" w:hAnsi="黑体" w:eastAsia="黑体" w:cs="黑体"/>
          <w:sz w:val="32"/>
          <w:szCs w:val="32"/>
        </w:rPr>
        <w:t>第八章  违约责任</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依照本合同约定或乙方租赁过程中发生的应当缴纳的费用，逾期未缴纳的，应支付逾期付款利息，利息按逾期金额的每日万分之五计算，同时还应承担逾期金额的30%的违约金。经甲方书面催告后，乙方仍未交清逾期款项及逾期利息和违约金的，甲方有权立即解除本合同，乙方应在七天内腾房交还甲方，并追究乙方的违约责任和赔偿责任。</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乙方有下列行为之一的，应承担当年租金30%的违约责任；同时甲方有权解除合同收回房屋，履约保证金不予返还给乙方且不冲抵违约金，因此而造成甲方损失的，由乙方负责赔偿：</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1.擅自拆改租赁房屋结构或改变用途的；</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2.将承租房屋擅自转让、转借他人或擅自调换使用的；</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3.将承租的房屋擅自转租（含变相转租、分租、擅自变更股东等）给第三人的；</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4.在租赁房屋进行违法活动的，被司法机关或行政机关依法查封的；</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5.不合理使用租赁房屋或过失而导致租赁房屋受损的；</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6.拖欠租金、</w:t>
      </w:r>
      <w:r>
        <w:rPr>
          <w:rFonts w:hint="eastAsia" w:ascii="仿宋" w:hAnsi="仿宋" w:eastAsia="仿宋" w:cs="仿宋"/>
          <w:sz w:val="32"/>
          <w:szCs w:val="32"/>
          <w:lang w:eastAsia="zh-CN"/>
        </w:rPr>
        <w:t>水电</w:t>
      </w:r>
      <w:r>
        <w:rPr>
          <w:rFonts w:hint="eastAsia" w:ascii="仿宋" w:hAnsi="仿宋" w:eastAsia="仿宋" w:cs="仿宋"/>
          <w:sz w:val="32"/>
          <w:szCs w:val="32"/>
        </w:rPr>
        <w:t>费等费用三十天的。</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乙方逾期不腾房交还给甲方的，甲方有权同时采取下列方式解决：</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1.向乙方收取无权占用费，按逾期之前月租金的五倍计算每月的无权占用费，逾期天数不足一个月的按一个月计算；</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2.租赁房屋内遗留物品视为乙方的遗弃物，无论价值大小，甲方均有权处置而不承担任何责任，同时向乙方收取卫生处置费。</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xml:space="preserve"> 违反本合同第七、八、九、十、十四、十五、十六、二十一条之规定的应承担相当于三个月租金的违约责任；同时视实际情形甲方有权解除本合同，收回租赁物。</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第九章  争议解决</w:t>
      </w:r>
    </w:p>
    <w:p>
      <w:pPr>
        <w:pStyle w:val="10"/>
        <w:keepNext w:val="0"/>
        <w:keepLines w:val="0"/>
        <w:pageBreakBefore w:val="0"/>
        <w:widowControl/>
        <w:kinsoku/>
        <w:wordWrap/>
        <w:overflowPunct/>
        <w:topLinePunct w:val="0"/>
        <w:autoSpaceDE/>
        <w:autoSpaceDN/>
        <w:bidi w:val="0"/>
        <w:adjustRightInd/>
        <w:snapToGrid/>
        <w:spacing w:line="500" w:lineRule="exact"/>
        <w:ind w:left="19" w:leftChars="9" w:firstLine="623" w:firstLineChars="194"/>
        <w:jc w:val="left"/>
        <w:textAlignment w:val="auto"/>
        <w:rPr>
          <w:rFonts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本合同项下发生的争议，甲乙双方协商或申请调解；协商或调解不成的，约定向租赁物所在地人民法院提起诉讼，因解决该合同争议产生的费用包括但不限于诉讼费、律师费、评估拍卖费、强制执行费等费用均由违约方承担。</w:t>
      </w:r>
    </w:p>
    <w:p>
      <w:pPr>
        <w:pStyle w:val="10"/>
        <w:keepNext w:val="0"/>
        <w:keepLines w:val="0"/>
        <w:pageBreakBefore w:val="0"/>
        <w:widowControl/>
        <w:kinsoku/>
        <w:wordWrap/>
        <w:overflowPunct/>
        <w:topLinePunct w:val="0"/>
        <w:autoSpaceDE/>
        <w:autoSpaceDN/>
        <w:bidi w:val="0"/>
        <w:adjustRightInd/>
        <w:snapToGrid/>
        <w:spacing w:line="500" w:lineRule="exact"/>
        <w:jc w:val="center"/>
        <w:textAlignment w:val="auto"/>
        <w:rPr>
          <w:rFonts w:ascii="黑体" w:hAnsi="黑体" w:eastAsia="黑体" w:cs="黑体"/>
          <w:sz w:val="32"/>
          <w:szCs w:val="32"/>
        </w:rPr>
      </w:pPr>
      <w:r>
        <w:rPr>
          <w:rFonts w:hint="eastAsia" w:ascii="黑体" w:hAnsi="黑体" w:eastAsia="黑体" w:cs="黑体"/>
          <w:sz w:val="32"/>
          <w:szCs w:val="32"/>
        </w:rPr>
        <w:t>第十章  其他约定</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甲方对乙方的通知可以自行采用下面任意一种形式：1.向本合同约定的乙方地址或承租的房产地址邮寄；2.拨打电话；3.张贴于乙方承租的房产；4.闽西日报公告；5.发送电子文档；6.当面签收。</w:t>
      </w:r>
    </w:p>
    <w:p>
      <w:pPr>
        <w:pStyle w:val="10"/>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无论采用何种形式通知，与无论邮件是否被退回，均推定乙方已经收到相关通知或由乙方承担相应的法律后果。</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本合同未尽事宜，双方可另行协商，签订补充协议书；本合同无涂改和手写内容。</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xml:space="preserve"> 本合同自双方签字盖章后生效。</w:t>
      </w:r>
    </w:p>
    <w:p>
      <w:pPr>
        <w:pStyle w:val="10"/>
        <w:keepNext w:val="0"/>
        <w:keepLines w:val="0"/>
        <w:pageBreakBefore w:val="0"/>
        <w:widowControl/>
        <w:kinsoku/>
        <w:wordWrap/>
        <w:overflowPunct/>
        <w:topLinePunct w:val="0"/>
        <w:autoSpaceDE/>
        <w:autoSpaceDN/>
        <w:bidi w:val="0"/>
        <w:adjustRightInd/>
        <w:snapToGrid/>
        <w:spacing w:line="500" w:lineRule="exact"/>
        <w:ind w:firstLine="643" w:firstLineChars="200"/>
        <w:jc w:val="left"/>
        <w:textAlignment w:val="auto"/>
        <w:rPr>
          <w:rFonts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xml:space="preserve"> 本合同一式叁份，甲方贰份，乙方壹份，均具有同等效力。</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甲方（盖章）：　　　　　     乙方（盖章）：</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法定代表人（签字或盖章）：   法定代表人（签字或盖章）：         </w:t>
      </w: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sz w:val="32"/>
          <w:szCs w:val="32"/>
        </w:rPr>
      </w:pPr>
    </w:p>
    <w:p>
      <w:pPr>
        <w:pStyle w:val="10"/>
        <w:keepNext w:val="0"/>
        <w:keepLines w:val="0"/>
        <w:pageBreakBefore w:val="0"/>
        <w:widowControl/>
        <w:kinsoku/>
        <w:wordWrap/>
        <w:overflowPunct/>
        <w:topLinePunct w:val="0"/>
        <w:autoSpaceDE/>
        <w:autoSpaceDN/>
        <w:bidi w:val="0"/>
        <w:adjustRightInd/>
        <w:snapToGrid/>
        <w:spacing w:line="500" w:lineRule="exact"/>
        <w:jc w:val="left"/>
        <w:textAlignment w:val="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val="en-US" w:eastAsia="zh-CN"/>
        </w:rPr>
        <w:t>翁如意</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联系人：</w:t>
      </w: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left"/>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left"/>
        <w:textAlignment w:val="auto"/>
        <w:rPr>
          <w:rFonts w:hint="eastAsia"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lang w:val="en-US" w:eastAsia="zh-CN"/>
        </w:rPr>
        <w:t xml:space="preserve">0597-2328318    </w:t>
      </w:r>
      <w:r>
        <w:rPr>
          <w:rFonts w:hint="eastAsia" w:ascii="仿宋" w:hAnsi="仿宋" w:eastAsia="仿宋" w:cs="仿宋"/>
          <w:sz w:val="32"/>
          <w:szCs w:val="32"/>
        </w:rPr>
        <w:t xml:space="preserve">    联系电话：           </w:t>
      </w: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center"/>
        <w:textAlignment w:val="auto"/>
        <w:rPr>
          <w:rFonts w:hint="eastAsia" w:ascii="仿宋" w:hAnsi="仿宋" w:eastAsia="仿宋" w:cs="仿宋"/>
          <w:sz w:val="32"/>
          <w:szCs w:val="32"/>
        </w:rPr>
      </w:pPr>
    </w:p>
    <w:p>
      <w:pPr>
        <w:keepNext w:val="0"/>
        <w:keepLines w:val="0"/>
        <w:pageBreakBefore w:val="0"/>
        <w:tabs>
          <w:tab w:val="left" w:pos="400"/>
        </w:tabs>
        <w:kinsoku/>
        <w:wordWrap/>
        <w:overflowPunct/>
        <w:topLinePunct w:val="0"/>
        <w:autoSpaceDE/>
        <w:autoSpaceDN/>
        <w:bidi w:val="0"/>
        <w:adjustRightInd/>
        <w:snapToGrid/>
        <w:spacing w:after="156" w:afterLines="50" w:line="500" w:lineRule="exact"/>
        <w:jc w:val="center"/>
        <w:textAlignment w:val="auto"/>
        <w:rPr>
          <w:rFonts w:ascii="仿宋" w:hAnsi="仿宋" w:eastAsia="仿宋" w:cs="仿宋"/>
          <w:sz w:val="32"/>
          <w:szCs w:val="32"/>
        </w:rPr>
      </w:pPr>
      <w:r>
        <w:rPr>
          <w:rFonts w:hint="eastAsia" w:ascii="仿宋" w:hAnsi="仿宋" w:eastAsia="仿宋" w:cs="仿宋"/>
          <w:sz w:val="32"/>
          <w:szCs w:val="32"/>
        </w:rPr>
        <w:t>签约时间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地点</w:t>
      </w:r>
      <w:r>
        <w:rPr>
          <w:rFonts w:hint="eastAsia" w:ascii="仿宋" w:hAnsi="仿宋" w:eastAsia="仿宋" w:cs="仿宋"/>
          <w:sz w:val="32"/>
          <w:szCs w:val="32"/>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 xml:space="preserve">   </w:t>
      </w:r>
      <w:r>
        <w:rPr>
          <w:rFonts w:hint="eastAsia" w:ascii="仿宋" w:hAnsi="仿宋" w:eastAsia="仿宋" w:cs="仿宋"/>
          <w:sz w:val="32"/>
          <w:szCs w:val="32"/>
        </w:rPr>
        <w:t>月</w:t>
      </w:r>
      <w:r>
        <w:rPr>
          <w:rFonts w:hint="eastAsia" w:ascii="仿宋" w:hAnsi="仿宋" w:eastAsia="仿宋" w:cs="仿宋"/>
          <w:sz w:val="32"/>
          <w:szCs w:val="32"/>
          <w:u w:val="single"/>
        </w:rPr>
        <w:t xml:space="preserve">   </w:t>
      </w:r>
      <w:r>
        <w:rPr>
          <w:rFonts w:hint="eastAsia" w:ascii="仿宋" w:hAnsi="仿宋" w:eastAsia="仿宋" w:cs="仿宋"/>
          <w:sz w:val="32"/>
          <w:szCs w:val="32"/>
        </w:rPr>
        <w:t>日于龙岩市新罗区</w:t>
      </w:r>
    </w:p>
    <w:p>
      <w:pP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br w:type="page"/>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ascii="仿宋" w:hAnsi="仿宋" w:eastAsia="仿宋" w:cs="仿宋"/>
          <w:color w:val="auto"/>
          <w:sz w:val="32"/>
          <w:szCs w:val="32"/>
          <w:highlight w:val="none"/>
        </w:rPr>
      </w:pPr>
      <w:r>
        <w:rPr>
          <w:rFonts w:hint="eastAsia" w:ascii="方正小标宋简体" w:hAnsi="方正小标宋简体" w:eastAsia="方正小标宋简体" w:cs="方正小标宋简体"/>
          <w:color w:val="auto"/>
          <w:sz w:val="44"/>
          <w:szCs w:val="44"/>
          <w:highlight w:val="none"/>
        </w:rPr>
        <w:t>安全管理协议</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jc w:val="center"/>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(编号:GTZC-20</w:t>
      </w:r>
      <w:r>
        <w:rPr>
          <w:rFonts w:hint="eastAsia" w:ascii="仿宋" w:hAnsi="仿宋" w:eastAsia="仿宋" w:cs="仿宋"/>
          <w:color w:val="auto"/>
          <w:sz w:val="32"/>
          <w:szCs w:val="32"/>
          <w:highlight w:val="none"/>
          <w:lang w:val="en-US" w:eastAsia="zh-CN"/>
        </w:rPr>
        <w:t>21</w:t>
      </w:r>
      <w:r>
        <w:rPr>
          <w:rFonts w:hint="eastAsia" w:ascii="仿宋" w:hAnsi="仿宋" w:eastAsia="仿宋" w:cs="仿宋"/>
          <w:color w:val="auto"/>
          <w:sz w:val="32"/>
          <w:szCs w:val="32"/>
          <w:highlight w:val="none"/>
          <w:u w:val="none"/>
        </w:rPr>
        <w:t>-0</w:t>
      </w:r>
      <w:r>
        <w:rPr>
          <w:rFonts w:hint="eastAsia" w:ascii="仿宋" w:hAnsi="仿宋" w:eastAsia="仿宋" w:cs="仿宋"/>
          <w:color w:val="auto"/>
          <w:sz w:val="32"/>
          <w:szCs w:val="32"/>
          <w:highlight w:val="none"/>
          <w:u w:val="none"/>
          <w:lang w:val="en-US" w:eastAsia="zh-CN"/>
        </w:rPr>
        <w:t>16</w:t>
      </w:r>
      <w:r>
        <w:rPr>
          <w:rFonts w:hint="eastAsia" w:ascii="仿宋" w:hAnsi="仿宋" w:eastAsia="仿宋" w:cs="仿宋"/>
          <w:color w:val="auto"/>
          <w:sz w:val="32"/>
          <w:szCs w:val="32"/>
          <w:highlight w:val="none"/>
          <w:u w:val="none"/>
        </w:rPr>
        <w:t>-</w:t>
      </w:r>
      <w:r>
        <w:rPr>
          <w:rFonts w:hint="eastAsia" w:ascii="仿宋" w:hAnsi="仿宋" w:eastAsia="仿宋" w:cs="仿宋"/>
          <w:sz w:val="32"/>
          <w:szCs w:val="32"/>
          <w:highlight w:val="none"/>
          <w:u w:val="single"/>
          <w:lang w:val="en-US" w:eastAsia="zh-CN"/>
        </w:rPr>
        <w:t xml:space="preserve">    </w:t>
      </w:r>
      <w:r>
        <w:rPr>
          <w:rFonts w:hint="eastAsia" w:ascii="仿宋" w:hAnsi="仿宋" w:eastAsia="仿宋" w:cs="仿宋"/>
          <w:color w:val="auto"/>
          <w:sz w:val="32"/>
          <w:szCs w:val="32"/>
          <w:highlight w:val="none"/>
        </w:rPr>
        <w:t>)</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460" w:lineRule="exact"/>
        <w:textAlignment w:val="auto"/>
        <w:rPr>
          <w:rFonts w:ascii="仿宋" w:hAnsi="仿宋" w:eastAsia="仿宋" w:cs="仿宋"/>
          <w:color w:val="auto"/>
          <w:spacing w:val="-23"/>
          <w:sz w:val="32"/>
          <w:szCs w:val="32"/>
          <w:highlight w:val="none"/>
        </w:rPr>
      </w:pPr>
      <w:r>
        <w:rPr>
          <w:rFonts w:hint="eastAsia" w:ascii="仿宋" w:hAnsi="仿宋" w:eastAsia="仿宋" w:cs="仿宋"/>
          <w:color w:val="auto"/>
          <w:spacing w:val="-23"/>
          <w:sz w:val="32"/>
          <w:szCs w:val="32"/>
          <w:highlight w:val="none"/>
          <w:lang w:val="en-US" w:eastAsia="zh-CN"/>
        </w:rPr>
        <w:t>出 租 方</w:t>
      </w:r>
      <w:r>
        <w:rPr>
          <w:rFonts w:hint="eastAsia" w:ascii="仿宋" w:hAnsi="仿宋" w:eastAsia="仿宋" w:cs="仿宋"/>
          <w:color w:val="auto"/>
          <w:spacing w:val="-23"/>
          <w:sz w:val="32"/>
          <w:szCs w:val="32"/>
          <w:highlight w:val="none"/>
        </w:rPr>
        <w:t>（以下简称“</w:t>
      </w:r>
      <w:r>
        <w:rPr>
          <w:rFonts w:hint="eastAsia" w:ascii="仿宋" w:hAnsi="仿宋" w:eastAsia="仿宋" w:cs="仿宋"/>
          <w:color w:val="auto"/>
          <w:spacing w:val="-23"/>
          <w:sz w:val="32"/>
          <w:szCs w:val="32"/>
          <w:highlight w:val="none"/>
          <w:lang w:val="en-US" w:eastAsia="zh-CN"/>
        </w:rPr>
        <w:t>甲</w:t>
      </w:r>
      <w:r>
        <w:rPr>
          <w:rFonts w:hint="eastAsia" w:ascii="仿宋" w:hAnsi="仿宋" w:eastAsia="仿宋" w:cs="仿宋"/>
          <w:color w:val="auto"/>
          <w:spacing w:val="-23"/>
          <w:sz w:val="32"/>
          <w:szCs w:val="32"/>
          <w:highlight w:val="none"/>
        </w:rPr>
        <w:t>方”）</w:t>
      </w:r>
      <w:r>
        <w:rPr>
          <w:rFonts w:hint="eastAsia" w:ascii="仿宋" w:hAnsi="仿宋" w:eastAsia="仿宋" w:cs="仿宋"/>
          <w:color w:val="auto"/>
          <w:spacing w:val="-23"/>
          <w:sz w:val="32"/>
          <w:szCs w:val="32"/>
          <w:highlight w:val="none"/>
          <w:lang w:eastAsia="zh-CN"/>
        </w:rPr>
        <w:t>：</w:t>
      </w:r>
      <w:r>
        <w:rPr>
          <w:rFonts w:hint="eastAsia" w:ascii="仿宋" w:hAnsi="仿宋" w:eastAsia="仿宋" w:cs="仿宋"/>
          <w:color w:val="auto"/>
          <w:spacing w:val="-23"/>
          <w:sz w:val="32"/>
          <w:szCs w:val="32"/>
          <w:highlight w:val="none"/>
        </w:rPr>
        <w:t>龙岩市国有资产投资经营有限公司</w:t>
      </w:r>
    </w:p>
    <w:p>
      <w:pPr>
        <w:pStyle w:val="10"/>
        <w:keepNext w:val="0"/>
        <w:keepLines w:val="0"/>
        <w:pageBreakBefore w:val="0"/>
        <w:widowControl/>
        <w:kinsoku/>
        <w:wordWrap/>
        <w:overflowPunct/>
        <w:topLinePunct w:val="0"/>
        <w:autoSpaceDE/>
        <w:autoSpaceDN/>
        <w:bidi w:val="0"/>
        <w:adjustRightInd/>
        <w:snapToGrid/>
        <w:spacing w:line="460" w:lineRule="exact"/>
        <w:jc w:val="left"/>
        <w:textAlignment w:val="auto"/>
        <w:rPr>
          <w:rFonts w:hint="eastAsia" w:ascii="仿宋" w:hAnsi="仿宋" w:eastAsia="仿宋" w:cs="仿宋"/>
          <w:color w:val="auto"/>
          <w:spacing w:val="-23"/>
          <w:sz w:val="32"/>
          <w:szCs w:val="32"/>
          <w:highlight w:val="none"/>
        </w:rPr>
      </w:pPr>
      <w:r>
        <w:rPr>
          <w:rFonts w:hint="eastAsia" w:ascii="仿宋" w:hAnsi="仿宋" w:eastAsia="仿宋" w:cs="仿宋"/>
          <w:color w:val="auto"/>
          <w:spacing w:val="-23"/>
          <w:sz w:val="32"/>
          <w:szCs w:val="32"/>
          <w:highlight w:val="none"/>
        </w:rPr>
        <w:t>承 租 方（以下简称“乙方”）：</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jc w:val="left"/>
        <w:textAlignment w:val="auto"/>
        <w:rPr>
          <w:rFonts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为确保出租方位于</w:t>
      </w:r>
      <w:r>
        <w:rPr>
          <w:rFonts w:hint="eastAsia" w:ascii="仿宋" w:hAnsi="仿宋" w:eastAsia="仿宋" w:cs="仿宋"/>
          <w:color w:val="auto"/>
          <w:sz w:val="32"/>
          <w:szCs w:val="32"/>
          <w:highlight w:val="none"/>
          <w:u w:val="single"/>
        </w:rPr>
        <w:t xml:space="preserve">  </w:t>
      </w:r>
      <w:r>
        <w:rPr>
          <w:rFonts w:hint="eastAsia" w:ascii="仿宋" w:hAnsi="仿宋" w:eastAsia="仿宋" w:cs="仿宋"/>
          <w:sz w:val="32"/>
          <w:szCs w:val="32"/>
          <w:u w:val="single"/>
        </w:rPr>
        <w:t>龙岩市新罗区</w:t>
      </w:r>
      <w:r>
        <w:rPr>
          <w:rFonts w:hint="eastAsia" w:ascii="仿宋" w:hAnsi="仿宋" w:eastAsia="仿宋" w:cs="仿宋"/>
          <w:sz w:val="32"/>
          <w:szCs w:val="32"/>
          <w:u w:val="single"/>
          <w:lang w:eastAsia="zh-CN"/>
        </w:rPr>
        <w:t>南城溪畔路</w:t>
      </w:r>
      <w:r>
        <w:rPr>
          <w:rFonts w:hint="eastAsia" w:ascii="仿宋" w:hAnsi="仿宋" w:eastAsia="仿宋" w:cs="仿宋"/>
          <w:sz w:val="32"/>
          <w:szCs w:val="32"/>
          <w:u w:val="single"/>
          <w:lang w:val="en-US" w:eastAsia="zh-CN"/>
        </w:rPr>
        <w:t>7号（兴发大厦）   号店（门牌号：</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eastAsia="zh-CN"/>
        </w:rPr>
        <w:t>）</w:t>
      </w:r>
      <w:r>
        <w:rPr>
          <w:rFonts w:hint="eastAsia" w:ascii="仿宋" w:hAnsi="仿宋" w:eastAsia="仿宋" w:cs="仿宋"/>
          <w:color w:val="auto"/>
          <w:sz w:val="32"/>
          <w:szCs w:val="32"/>
          <w:highlight w:val="none"/>
        </w:rPr>
        <w:t>的出租房屋及承租方的人身和财产安全，进一步明确甲、乙</w:t>
      </w:r>
      <w:r>
        <w:rPr>
          <w:rFonts w:hint="eastAsia" w:ascii="仿宋" w:hAnsi="仿宋" w:eastAsia="仿宋" w:cs="仿宋"/>
          <w:color w:val="auto"/>
          <w:sz w:val="32"/>
          <w:szCs w:val="32"/>
          <w:highlight w:val="none"/>
          <w:lang w:val="en-US" w:eastAsia="zh-CN"/>
        </w:rPr>
        <w:t>双</w:t>
      </w:r>
      <w:r>
        <w:rPr>
          <w:rFonts w:hint="eastAsia" w:ascii="仿宋" w:hAnsi="仿宋" w:eastAsia="仿宋" w:cs="仿宋"/>
          <w:color w:val="auto"/>
          <w:sz w:val="32"/>
          <w:szCs w:val="32"/>
          <w:highlight w:val="none"/>
        </w:rPr>
        <w:t>方的安全管理权利、义务和责任，基于《中华人民共和国安全生产法》</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《中华人民共和国消防法》等有关法律法规的前提下，经</w:t>
      </w:r>
      <w:r>
        <w:rPr>
          <w:rFonts w:hint="eastAsia" w:ascii="仿宋" w:hAnsi="仿宋" w:eastAsia="仿宋" w:cs="仿宋"/>
          <w:color w:val="auto"/>
          <w:sz w:val="32"/>
          <w:szCs w:val="32"/>
          <w:highlight w:val="none"/>
          <w:lang w:val="en-US" w:eastAsia="zh-CN"/>
        </w:rPr>
        <w:t>双</w:t>
      </w:r>
      <w:r>
        <w:rPr>
          <w:rFonts w:hint="eastAsia" w:ascii="仿宋" w:hAnsi="仿宋" w:eastAsia="仿宋" w:cs="仿宋"/>
          <w:color w:val="auto"/>
          <w:sz w:val="32"/>
          <w:szCs w:val="32"/>
          <w:highlight w:val="none"/>
        </w:rPr>
        <w:t>方协商一致，签订本协议。</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eastAsia="zh-CN"/>
        </w:rPr>
        <w:t>甲</w:t>
      </w:r>
      <w:r>
        <w:rPr>
          <w:rFonts w:hint="eastAsia" w:ascii="黑体" w:hAnsi="黑体" w:eastAsia="黑体" w:cs="黑体"/>
          <w:color w:val="auto"/>
          <w:sz w:val="32"/>
          <w:szCs w:val="32"/>
          <w:highlight w:val="none"/>
        </w:rPr>
        <w:t>方的责任和义务</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方对出租房产进行安全、合理使用情况、守法经营情况和特种设备使用情况有监督检查的义务和责任，定期进行安全检查，对出现安全事故依法由乙方承担的，在</w:t>
      </w:r>
      <w:r>
        <w:rPr>
          <w:rFonts w:hint="eastAsia" w:ascii="仿宋" w:hAnsi="仿宋" w:eastAsia="仿宋" w:cs="仿宋"/>
          <w:color w:val="auto"/>
          <w:sz w:val="32"/>
          <w:szCs w:val="32"/>
          <w:highlight w:val="none"/>
          <w:lang w:eastAsia="zh-CN"/>
        </w:rPr>
        <w:t>甲</w:t>
      </w:r>
      <w:r>
        <w:rPr>
          <w:rFonts w:hint="eastAsia" w:ascii="仿宋" w:hAnsi="仿宋" w:eastAsia="仿宋" w:cs="仿宋"/>
          <w:color w:val="auto"/>
          <w:sz w:val="32"/>
          <w:szCs w:val="32"/>
          <w:highlight w:val="none"/>
        </w:rPr>
        <w:t>方对外承担责任后，有权就其损失向乙方进行追偿；</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2.向乙方传达消防法律法规,规章制度和消防安全注意事项。</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 xml:space="preserve">方在必要时,可对乙方的承租房屋内进行消防安全检查。如发现乙方的承租房屋内存有消防安全隐患,有权要求其及时进行整改,在任何时候,如遇火灾等紧急情况, </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方有权不经通知而进入乙方承租区域内采取合理的方式进行灭火,且不承担因灭火过程中应急处置而对乙方所造成的损失。</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4.对出租房屋的消防设施,设备、器材等进行检查,发现问题及时通知承租人进行整改。</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5.配合公安机关、消防部门及其他执法机关对消防违法犯罪案件进行调查取证等工作。</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6.其它安全工作。</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二、乙方的责任和义务</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1.认真学习贯彻执行《中华人民共和国消防法》、《中华人民共和国安全生产法》和其他消防安全法规。</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2.乙方人员必须遵守国家及省市的各项消防管理规定及出租房屋的各项消防安全制度，并按照国家标准、行业标准配置消防设施、器材，设置消防安全标志，定期检查、维护，确保完好有效。</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3.乙方为租赁房产的消防安全责任人，全面负责所承租的房屋安全管理。</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4.乙方未经许可不得擅自改变房屋结构,电器设备的安装要符合安全要求，布线要规范，严禁乱拉乱接电线，用电量不得超负荷，发现问题及时处理。</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5.严禁在承租房内存放危险化学品及易燃易爆物品或其他法律违禁物品。</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6.乙方应严格执行</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方及有关部门的各项规定，自觉接受属地治安、消防等管理，不得利用出租房屋从事违法犯罪活动。</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7.乙方应积极支持和全力配合</w:t>
      </w:r>
      <w:r>
        <w:rPr>
          <w:rFonts w:hint="eastAsia" w:ascii="仿宋" w:hAnsi="仿宋" w:eastAsia="仿宋" w:cs="仿宋"/>
          <w:color w:val="auto"/>
          <w:sz w:val="32"/>
          <w:szCs w:val="32"/>
          <w:highlight w:val="none"/>
          <w:lang w:val="en-US" w:eastAsia="zh-CN"/>
        </w:rPr>
        <w:t>丙</w:t>
      </w:r>
      <w:r>
        <w:rPr>
          <w:rFonts w:hint="eastAsia" w:ascii="仿宋" w:hAnsi="仿宋" w:eastAsia="仿宋" w:cs="仿宋"/>
          <w:color w:val="auto"/>
          <w:sz w:val="32"/>
          <w:szCs w:val="32"/>
          <w:highlight w:val="none"/>
        </w:rPr>
        <w:t>方定期或不定期的安全检查</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接受</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方的安全监督管理，按时完成</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 xml:space="preserve">方提出的安全整改要求。     </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8.发生安全事故，乙方必须及时向</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方与有关部门报告，并做好事故处理工作。</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9.租赁期间如因乙方采取的安全措施不当，违反有关安全规程、规定及本协议所列安全事项而造成的一切事故或第三方造成损失或</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方受到处罚的，均由乙方承担赔偿责任及法律责任。</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三、违约责任</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1.乙方不能配合</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方安全检查、不接受安全监督管理、未在规定时间内完成</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方提出的安全整改要求的，构成违约，</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方有权断水断电，或</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方有权立即解除租赁合同，且乙方应赔偿甲方因此造成的损失。</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2.由于乙方未履行相关安全维护义务或管理不到位发生安全事故，给甲方或其他人造成损失的，由乙方承担全部责任且</w:t>
      </w:r>
      <w:r>
        <w:rPr>
          <w:rFonts w:hint="eastAsia" w:ascii="仿宋" w:hAnsi="仿宋" w:eastAsia="仿宋" w:cs="仿宋"/>
          <w:color w:val="auto"/>
          <w:sz w:val="32"/>
          <w:szCs w:val="32"/>
          <w:highlight w:val="none"/>
          <w:lang w:val="en-US" w:eastAsia="zh-CN"/>
        </w:rPr>
        <w:t>甲</w:t>
      </w:r>
      <w:r>
        <w:rPr>
          <w:rFonts w:hint="eastAsia" w:ascii="仿宋" w:hAnsi="仿宋" w:eastAsia="仿宋" w:cs="仿宋"/>
          <w:color w:val="auto"/>
          <w:sz w:val="32"/>
          <w:szCs w:val="32"/>
          <w:highlight w:val="none"/>
        </w:rPr>
        <w:t>方有权立即解除租赁合同。</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lang w:val="en-US" w:eastAsia="zh-CN"/>
        </w:rPr>
        <w:t>3</w:t>
      </w:r>
      <w:r>
        <w:rPr>
          <w:rFonts w:hint="eastAsia" w:ascii="仿宋" w:hAnsi="仿宋" w:eastAsia="仿宋" w:cs="仿宋"/>
          <w:color w:val="auto"/>
          <w:sz w:val="32"/>
          <w:szCs w:val="32"/>
          <w:highlight w:val="none"/>
        </w:rPr>
        <w:t>.本协议未尽事宜，参照相关安全生产法律法规规定执行。</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四、</w:t>
      </w:r>
      <w:r>
        <w:rPr>
          <w:rFonts w:hint="eastAsia" w:ascii="仿宋" w:hAnsi="仿宋" w:eastAsia="仿宋" w:cs="仿宋"/>
          <w:color w:val="auto"/>
          <w:sz w:val="32"/>
          <w:szCs w:val="32"/>
          <w:highlight w:val="none"/>
        </w:rPr>
        <w:t>本协议一式</w:t>
      </w:r>
      <w:r>
        <w:rPr>
          <w:rFonts w:hint="eastAsia" w:ascii="仿宋" w:hAnsi="仿宋" w:eastAsia="仿宋" w:cs="仿宋"/>
          <w:color w:val="auto"/>
          <w:sz w:val="32"/>
          <w:szCs w:val="32"/>
          <w:highlight w:val="none"/>
          <w:lang w:val="en-US" w:eastAsia="zh-CN"/>
        </w:rPr>
        <w:t>贰</w:t>
      </w:r>
      <w:r>
        <w:rPr>
          <w:rFonts w:hint="eastAsia" w:ascii="仿宋" w:hAnsi="仿宋" w:eastAsia="仿宋" w:cs="仿宋"/>
          <w:color w:val="auto"/>
          <w:sz w:val="32"/>
          <w:szCs w:val="32"/>
          <w:highlight w:val="none"/>
        </w:rPr>
        <w:t>份，甲</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乙双</w:t>
      </w:r>
      <w:r>
        <w:rPr>
          <w:rFonts w:hint="eastAsia" w:ascii="仿宋" w:hAnsi="仿宋" w:eastAsia="仿宋" w:cs="仿宋"/>
          <w:color w:val="auto"/>
          <w:sz w:val="32"/>
          <w:szCs w:val="32"/>
          <w:highlight w:val="none"/>
        </w:rPr>
        <w:t>方</w:t>
      </w:r>
      <w:r>
        <w:rPr>
          <w:rFonts w:hint="eastAsia" w:ascii="仿宋" w:hAnsi="仿宋" w:eastAsia="仿宋" w:cs="仿宋"/>
          <w:color w:val="auto"/>
          <w:sz w:val="32"/>
          <w:szCs w:val="32"/>
          <w:highlight w:val="none"/>
          <w:lang w:val="en-US" w:eastAsia="zh-CN"/>
        </w:rPr>
        <w:t>各执壹</w:t>
      </w:r>
      <w:r>
        <w:rPr>
          <w:rFonts w:hint="eastAsia" w:ascii="仿宋" w:hAnsi="仿宋" w:eastAsia="仿宋" w:cs="仿宋"/>
          <w:color w:val="auto"/>
          <w:sz w:val="32"/>
          <w:szCs w:val="32"/>
          <w:highlight w:val="none"/>
        </w:rPr>
        <w:t>份，均具有同等效力。</w:t>
      </w:r>
    </w:p>
    <w:p>
      <w:pPr>
        <w:keepNext w:val="0"/>
        <w:keepLines w:val="0"/>
        <w:pageBreakBefore w:val="0"/>
        <w:widowControl w:val="0"/>
        <w:tabs>
          <w:tab w:val="left" w:pos="400"/>
        </w:tabs>
        <w:kinsoku/>
        <w:wordWrap/>
        <w:overflowPunct/>
        <w:topLinePunct w:val="0"/>
        <w:autoSpaceDE/>
        <w:autoSpaceDN/>
        <w:bidi w:val="0"/>
        <w:adjustRightInd/>
        <w:snapToGrid/>
        <w:spacing w:line="460" w:lineRule="exact"/>
        <w:ind w:firstLine="640" w:firstLineChars="200"/>
        <w:jc w:val="left"/>
        <w:textAlignment w:val="auto"/>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五、</w:t>
      </w:r>
      <w:r>
        <w:rPr>
          <w:rFonts w:hint="eastAsia" w:ascii="仿宋" w:hAnsi="仿宋" w:eastAsia="仿宋" w:cs="仿宋"/>
          <w:color w:val="auto"/>
          <w:sz w:val="32"/>
          <w:szCs w:val="32"/>
          <w:highlight w:val="none"/>
        </w:rPr>
        <w:t>本协议是《</w:t>
      </w:r>
      <w:r>
        <w:rPr>
          <w:rFonts w:hint="eastAsia" w:ascii="仿宋" w:hAnsi="仿宋" w:eastAsia="仿宋" w:cs="仿宋"/>
          <w:color w:val="auto"/>
          <w:sz w:val="32"/>
          <w:szCs w:val="32"/>
          <w:highlight w:val="none"/>
          <w:lang w:val="en-US" w:eastAsia="zh-CN"/>
        </w:rPr>
        <w:t>兴发大厦</w:t>
      </w:r>
      <w:r>
        <w:rPr>
          <w:rFonts w:hint="eastAsia" w:ascii="仿宋" w:hAnsi="仿宋" w:eastAsia="仿宋" w:cs="仿宋"/>
          <w:color w:val="auto"/>
          <w:sz w:val="32"/>
          <w:szCs w:val="32"/>
          <w:highlight w:val="none"/>
        </w:rPr>
        <w:t>房屋租赁合同》（编号：GTZC-</w:t>
      </w:r>
      <w:r>
        <w:rPr>
          <w:rFonts w:hint="eastAsia" w:ascii="仿宋" w:hAnsi="仿宋" w:eastAsia="仿宋" w:cs="仿宋"/>
          <w:color w:val="auto"/>
          <w:sz w:val="32"/>
          <w:szCs w:val="32"/>
          <w:highlight w:val="none"/>
          <w:lang w:val="en-US" w:eastAsia="zh-CN"/>
        </w:rPr>
        <w:t>2021</w:t>
      </w:r>
      <w:r>
        <w:rPr>
          <w:rFonts w:hint="eastAsia" w:ascii="仿宋" w:hAnsi="仿宋" w:eastAsia="仿宋" w:cs="仿宋"/>
          <w:color w:val="auto"/>
          <w:sz w:val="32"/>
          <w:szCs w:val="32"/>
          <w:highlight w:val="none"/>
          <w:u w:val="none"/>
          <w:lang w:val="en-US" w:eastAsia="zh-CN"/>
        </w:rPr>
        <w:t xml:space="preserve">  </w:t>
      </w:r>
      <w:r>
        <w:rPr>
          <w:rFonts w:hint="eastAsia" w:ascii="仿宋" w:hAnsi="仿宋" w:eastAsia="仿宋" w:cs="仿宋"/>
          <w:color w:val="auto"/>
          <w:sz w:val="32"/>
          <w:szCs w:val="32"/>
          <w:highlight w:val="none"/>
          <w:u w:val="none"/>
        </w:rPr>
        <w:t>-0</w:t>
      </w:r>
      <w:r>
        <w:rPr>
          <w:rFonts w:hint="eastAsia" w:ascii="仿宋" w:hAnsi="仿宋" w:eastAsia="仿宋" w:cs="仿宋"/>
          <w:color w:val="auto"/>
          <w:sz w:val="32"/>
          <w:szCs w:val="32"/>
          <w:highlight w:val="none"/>
          <w:u w:val="none"/>
          <w:lang w:val="en-US" w:eastAsia="zh-CN"/>
        </w:rPr>
        <w:t>16</w:t>
      </w:r>
      <w:r>
        <w:rPr>
          <w:rFonts w:hint="eastAsia" w:ascii="仿宋" w:hAnsi="仿宋" w:eastAsia="仿宋" w:cs="仿宋"/>
          <w:color w:val="auto"/>
          <w:sz w:val="32"/>
          <w:szCs w:val="32"/>
          <w:highlight w:val="none"/>
        </w:rPr>
        <w:t>，以下简称“主合同”)的从合同,与主合同时效相同，主合同到期后，本协议同时终止。</w:t>
      </w:r>
    </w:p>
    <w:p>
      <w:pPr>
        <w:keepNext w:val="0"/>
        <w:keepLines w:val="0"/>
        <w:pageBreakBefore w:val="0"/>
        <w:tabs>
          <w:tab w:val="left" w:pos="400"/>
        </w:tabs>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 </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甲方（</w:t>
      </w:r>
      <w:r>
        <w:rPr>
          <w:rFonts w:hint="eastAsia" w:ascii="仿宋" w:hAnsi="仿宋" w:eastAsia="仿宋" w:cs="仿宋"/>
          <w:color w:val="auto"/>
          <w:sz w:val="32"/>
          <w:szCs w:val="32"/>
          <w:highlight w:val="none"/>
          <w:lang w:val="en-US" w:eastAsia="zh-CN"/>
        </w:rPr>
        <w:t>盖章</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r>
        <w:rPr>
          <w:rFonts w:hint="eastAsia" w:ascii="仿宋" w:hAnsi="仿宋" w:eastAsia="仿宋" w:cs="仿宋"/>
          <w:color w:val="auto"/>
          <w:sz w:val="32"/>
          <w:szCs w:val="32"/>
          <w:highlight w:val="none"/>
        </w:rPr>
        <w:t>乙方（签字或盖章）：</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法定代表人（签字或盖章）：    法定代表人（签字或盖章）：</w:t>
      </w: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auto"/>
          <w:sz w:val="32"/>
          <w:szCs w:val="32"/>
          <w:highlight w:val="none"/>
        </w:rPr>
      </w:pPr>
    </w:p>
    <w:p>
      <w:pPr>
        <w:keepNext w:val="0"/>
        <w:keepLines w:val="0"/>
        <w:pageBreakBefore w:val="0"/>
        <w:widowControl w:val="0"/>
        <w:tabs>
          <w:tab w:val="left" w:pos="400"/>
        </w:tabs>
        <w:kinsoku/>
        <w:wordWrap/>
        <w:overflowPunct/>
        <w:topLinePunct w:val="0"/>
        <w:autoSpaceDE/>
        <w:autoSpaceDN/>
        <w:bidi w:val="0"/>
        <w:adjustRightInd/>
        <w:snapToGrid/>
        <w:spacing w:line="560" w:lineRule="exact"/>
        <w:jc w:val="center"/>
        <w:textAlignment w:val="auto"/>
        <w:rPr>
          <w:rFonts w:ascii="仿宋" w:hAnsi="仿宋" w:eastAsia="仿宋" w:cs="仿宋"/>
          <w:sz w:val="32"/>
          <w:szCs w:val="32"/>
        </w:rPr>
      </w:pPr>
      <w:r>
        <w:rPr>
          <w:rFonts w:hint="eastAsia" w:ascii="仿宋" w:hAnsi="仿宋" w:eastAsia="仿宋" w:cs="仿宋"/>
          <w:color w:val="auto"/>
          <w:sz w:val="32"/>
          <w:szCs w:val="32"/>
          <w:highlight w:val="none"/>
        </w:rPr>
        <w:t>签约</w:t>
      </w:r>
      <w:r>
        <w:rPr>
          <w:rFonts w:hint="eastAsia" w:ascii="仿宋" w:hAnsi="仿宋" w:eastAsia="仿宋" w:cs="仿宋"/>
          <w:color w:val="auto"/>
          <w:sz w:val="32"/>
          <w:szCs w:val="32"/>
          <w:highlight w:val="none"/>
          <w:lang w:val="en-US" w:eastAsia="zh-CN"/>
        </w:rPr>
        <w:t>地点、</w:t>
      </w:r>
      <w:r>
        <w:rPr>
          <w:rFonts w:hint="eastAsia" w:ascii="仿宋" w:hAnsi="仿宋" w:eastAsia="仿宋" w:cs="仿宋"/>
          <w:color w:val="auto"/>
          <w:sz w:val="32"/>
          <w:szCs w:val="32"/>
          <w:highlight w:val="none"/>
        </w:rPr>
        <w:t>时间：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年</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月</w:t>
      </w:r>
      <w:r>
        <w:rPr>
          <w:rFonts w:hint="eastAsia" w:ascii="仿宋" w:hAnsi="仿宋" w:eastAsia="仿宋" w:cs="仿宋"/>
          <w:color w:val="auto"/>
          <w:sz w:val="32"/>
          <w:szCs w:val="32"/>
          <w:highlight w:val="none"/>
          <w:u w:val="single"/>
        </w:rPr>
        <w:t xml:space="preserve">   </w:t>
      </w:r>
      <w:r>
        <w:rPr>
          <w:rFonts w:hint="eastAsia" w:ascii="仿宋" w:hAnsi="仿宋" w:eastAsia="仿宋" w:cs="仿宋"/>
          <w:color w:val="auto"/>
          <w:sz w:val="32"/>
          <w:szCs w:val="32"/>
          <w:highlight w:val="none"/>
        </w:rPr>
        <w:t>日于龙岩市新罗</w:t>
      </w:r>
      <w:r>
        <w:rPr>
          <w:rFonts w:hint="eastAsia" w:ascii="仿宋" w:hAnsi="仿宋" w:eastAsia="仿宋" w:cs="仿宋"/>
          <w:sz w:val="32"/>
          <w:szCs w:val="32"/>
          <w:highlight w:val="none"/>
        </w:rPr>
        <w:t>区</w:t>
      </w:r>
    </w:p>
    <w:sectPr>
      <w:footerReference r:id="rId3" w:type="default"/>
      <w:pgSz w:w="11906" w:h="16838"/>
      <w:pgMar w:top="2098" w:right="1531" w:bottom="2098" w:left="1531" w:header="851" w:footer="992" w:gutter="0"/>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210"/>
  <w:drawingGridVerticalSpacing w:val="158"/>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52B4"/>
    <w:rsid w:val="00013004"/>
    <w:rsid w:val="00027C5E"/>
    <w:rsid w:val="00037C70"/>
    <w:rsid w:val="00063611"/>
    <w:rsid w:val="00077CBE"/>
    <w:rsid w:val="000A6627"/>
    <w:rsid w:val="000B17F9"/>
    <w:rsid w:val="000D18A4"/>
    <w:rsid w:val="0012308A"/>
    <w:rsid w:val="001323CA"/>
    <w:rsid w:val="001413B6"/>
    <w:rsid w:val="00180420"/>
    <w:rsid w:val="001D3B80"/>
    <w:rsid w:val="00222F76"/>
    <w:rsid w:val="00290479"/>
    <w:rsid w:val="002A79D7"/>
    <w:rsid w:val="003252B4"/>
    <w:rsid w:val="003F10EB"/>
    <w:rsid w:val="003F53E2"/>
    <w:rsid w:val="003F5BBE"/>
    <w:rsid w:val="00437AC4"/>
    <w:rsid w:val="00452834"/>
    <w:rsid w:val="00476E31"/>
    <w:rsid w:val="00487623"/>
    <w:rsid w:val="004D4BB0"/>
    <w:rsid w:val="004E29A3"/>
    <w:rsid w:val="004F5973"/>
    <w:rsid w:val="00560A3B"/>
    <w:rsid w:val="005A276E"/>
    <w:rsid w:val="00620B2A"/>
    <w:rsid w:val="00701603"/>
    <w:rsid w:val="00723B44"/>
    <w:rsid w:val="0074045E"/>
    <w:rsid w:val="00754E8B"/>
    <w:rsid w:val="00783E7A"/>
    <w:rsid w:val="00784371"/>
    <w:rsid w:val="007A25C7"/>
    <w:rsid w:val="007B5FBD"/>
    <w:rsid w:val="007C7615"/>
    <w:rsid w:val="007D16D8"/>
    <w:rsid w:val="007E4AC8"/>
    <w:rsid w:val="007E6849"/>
    <w:rsid w:val="00807507"/>
    <w:rsid w:val="008150ED"/>
    <w:rsid w:val="00823247"/>
    <w:rsid w:val="008405DA"/>
    <w:rsid w:val="0087526C"/>
    <w:rsid w:val="008926C4"/>
    <w:rsid w:val="008D08ED"/>
    <w:rsid w:val="008D5BC3"/>
    <w:rsid w:val="00913757"/>
    <w:rsid w:val="009217DE"/>
    <w:rsid w:val="00925455"/>
    <w:rsid w:val="00971687"/>
    <w:rsid w:val="009801C3"/>
    <w:rsid w:val="009C3C46"/>
    <w:rsid w:val="009E3583"/>
    <w:rsid w:val="00A33AB2"/>
    <w:rsid w:val="00A70335"/>
    <w:rsid w:val="00AC7355"/>
    <w:rsid w:val="00B0564B"/>
    <w:rsid w:val="00B16051"/>
    <w:rsid w:val="00B356FF"/>
    <w:rsid w:val="00B5120D"/>
    <w:rsid w:val="00B559B0"/>
    <w:rsid w:val="00B76516"/>
    <w:rsid w:val="00C051A4"/>
    <w:rsid w:val="00C369A1"/>
    <w:rsid w:val="00C552D0"/>
    <w:rsid w:val="00C56E9D"/>
    <w:rsid w:val="00C60AD8"/>
    <w:rsid w:val="00C97EA9"/>
    <w:rsid w:val="00CA5002"/>
    <w:rsid w:val="00CA5AFD"/>
    <w:rsid w:val="00CE44C4"/>
    <w:rsid w:val="00CF0420"/>
    <w:rsid w:val="00D42988"/>
    <w:rsid w:val="00D66F4F"/>
    <w:rsid w:val="00DD505E"/>
    <w:rsid w:val="00E02135"/>
    <w:rsid w:val="00E05391"/>
    <w:rsid w:val="00E20C3C"/>
    <w:rsid w:val="00E20FD5"/>
    <w:rsid w:val="00E754B3"/>
    <w:rsid w:val="00E85031"/>
    <w:rsid w:val="00EB3164"/>
    <w:rsid w:val="00EB4383"/>
    <w:rsid w:val="00EC4084"/>
    <w:rsid w:val="00F018E7"/>
    <w:rsid w:val="00F0651B"/>
    <w:rsid w:val="00F13427"/>
    <w:rsid w:val="00F316C1"/>
    <w:rsid w:val="00F53DD4"/>
    <w:rsid w:val="00F721B6"/>
    <w:rsid w:val="00F80A2B"/>
    <w:rsid w:val="00FB64A0"/>
    <w:rsid w:val="014D1562"/>
    <w:rsid w:val="018D28B9"/>
    <w:rsid w:val="01C9346E"/>
    <w:rsid w:val="02082B1D"/>
    <w:rsid w:val="049D1855"/>
    <w:rsid w:val="05077FCF"/>
    <w:rsid w:val="0AB51DC2"/>
    <w:rsid w:val="0B0F56DE"/>
    <w:rsid w:val="0BFB4381"/>
    <w:rsid w:val="0D523291"/>
    <w:rsid w:val="0DCC15B4"/>
    <w:rsid w:val="0E9E1F94"/>
    <w:rsid w:val="0F636CD2"/>
    <w:rsid w:val="0F911718"/>
    <w:rsid w:val="11F254F3"/>
    <w:rsid w:val="124813E4"/>
    <w:rsid w:val="15F71FCF"/>
    <w:rsid w:val="16ED3B7C"/>
    <w:rsid w:val="171B672C"/>
    <w:rsid w:val="1A0349A1"/>
    <w:rsid w:val="1A7A0F2D"/>
    <w:rsid w:val="1B403425"/>
    <w:rsid w:val="1B51146A"/>
    <w:rsid w:val="1C444564"/>
    <w:rsid w:val="1CBE50F3"/>
    <w:rsid w:val="1FA27E72"/>
    <w:rsid w:val="21796886"/>
    <w:rsid w:val="2275227A"/>
    <w:rsid w:val="248B4490"/>
    <w:rsid w:val="24B72891"/>
    <w:rsid w:val="25920C52"/>
    <w:rsid w:val="279005BE"/>
    <w:rsid w:val="27C56072"/>
    <w:rsid w:val="27F031EE"/>
    <w:rsid w:val="28926139"/>
    <w:rsid w:val="28B27BC8"/>
    <w:rsid w:val="2B652E76"/>
    <w:rsid w:val="2CF07DA8"/>
    <w:rsid w:val="2EA93D74"/>
    <w:rsid w:val="2F775E6C"/>
    <w:rsid w:val="300320EF"/>
    <w:rsid w:val="305441C7"/>
    <w:rsid w:val="305A1A67"/>
    <w:rsid w:val="30B24D7E"/>
    <w:rsid w:val="31285D52"/>
    <w:rsid w:val="325102F7"/>
    <w:rsid w:val="34EA69F0"/>
    <w:rsid w:val="3575078C"/>
    <w:rsid w:val="35AE238D"/>
    <w:rsid w:val="37EB6536"/>
    <w:rsid w:val="38144E1F"/>
    <w:rsid w:val="386F4D47"/>
    <w:rsid w:val="3873113C"/>
    <w:rsid w:val="3A8F67AF"/>
    <w:rsid w:val="3AE47206"/>
    <w:rsid w:val="3BD913D8"/>
    <w:rsid w:val="3C741790"/>
    <w:rsid w:val="3CED6EA0"/>
    <w:rsid w:val="3E1B4CE7"/>
    <w:rsid w:val="3F1D1DC2"/>
    <w:rsid w:val="3F51280C"/>
    <w:rsid w:val="449842B6"/>
    <w:rsid w:val="46ED602F"/>
    <w:rsid w:val="472A3A6E"/>
    <w:rsid w:val="47CF3607"/>
    <w:rsid w:val="48ED1F15"/>
    <w:rsid w:val="4BA35413"/>
    <w:rsid w:val="4ED314A0"/>
    <w:rsid w:val="4FA155A8"/>
    <w:rsid w:val="4FD45CA0"/>
    <w:rsid w:val="50B25CA8"/>
    <w:rsid w:val="50E75F30"/>
    <w:rsid w:val="51742DE6"/>
    <w:rsid w:val="51C82399"/>
    <w:rsid w:val="553508B5"/>
    <w:rsid w:val="55E30B1F"/>
    <w:rsid w:val="574531FB"/>
    <w:rsid w:val="598949D9"/>
    <w:rsid w:val="5AA51940"/>
    <w:rsid w:val="5AC45268"/>
    <w:rsid w:val="5B3C0303"/>
    <w:rsid w:val="5DE50D6F"/>
    <w:rsid w:val="5E2B6FB1"/>
    <w:rsid w:val="5E432AB0"/>
    <w:rsid w:val="5EC21F74"/>
    <w:rsid w:val="5F2659EE"/>
    <w:rsid w:val="5FA752FA"/>
    <w:rsid w:val="603D3EB5"/>
    <w:rsid w:val="610843D3"/>
    <w:rsid w:val="63484CAA"/>
    <w:rsid w:val="64036074"/>
    <w:rsid w:val="64C51047"/>
    <w:rsid w:val="66A43449"/>
    <w:rsid w:val="673F5E05"/>
    <w:rsid w:val="67996F99"/>
    <w:rsid w:val="6AB1116B"/>
    <w:rsid w:val="6CD361E3"/>
    <w:rsid w:val="6D546F5C"/>
    <w:rsid w:val="6DFE5F6A"/>
    <w:rsid w:val="6E5E35B0"/>
    <w:rsid w:val="70802DCA"/>
    <w:rsid w:val="70E835C0"/>
    <w:rsid w:val="70F25D26"/>
    <w:rsid w:val="71A1160F"/>
    <w:rsid w:val="72806CF0"/>
    <w:rsid w:val="7320418E"/>
    <w:rsid w:val="73804AE3"/>
    <w:rsid w:val="74031CE6"/>
    <w:rsid w:val="76E643C3"/>
    <w:rsid w:val="775D37FD"/>
    <w:rsid w:val="78AA0196"/>
    <w:rsid w:val="793F6654"/>
    <w:rsid w:val="7A4E7F3D"/>
    <w:rsid w:val="7BE32449"/>
    <w:rsid w:val="7C770CD7"/>
    <w:rsid w:val="7FE371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字符"/>
    <w:basedOn w:val="5"/>
    <w:link w:val="3"/>
    <w:semiHidden/>
    <w:qFormat/>
    <w:uiPriority w:val="99"/>
    <w:rPr>
      <w:sz w:val="18"/>
      <w:szCs w:val="18"/>
    </w:rPr>
  </w:style>
  <w:style w:type="character" w:customStyle="1" w:styleId="8">
    <w:name w:val="页脚 字符"/>
    <w:basedOn w:val="5"/>
    <w:link w:val="2"/>
    <w:semiHidden/>
    <w:qFormat/>
    <w:uiPriority w:val="99"/>
    <w:rPr>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widowControl/>
    </w:pPr>
    <w:rPr>
      <w:kern w:val="0"/>
    </w:rPr>
  </w:style>
  <w:style w:type="character" w:customStyle="1" w:styleId="11">
    <w:name w:val="font01"/>
    <w:basedOn w:val="5"/>
    <w:qFormat/>
    <w:uiPriority w:val="0"/>
    <w:rPr>
      <w:rFonts w:hint="eastAsia" w:ascii="宋体" w:hAnsi="宋体" w:eastAsia="宋体" w:cs="宋体"/>
      <w:b/>
      <w:bCs/>
      <w:color w:val="000000"/>
      <w:sz w:val="20"/>
      <w:szCs w:val="20"/>
      <w:u w:val="none"/>
      <w:vertAlign w:val="superscript"/>
    </w:rPr>
  </w:style>
  <w:style w:type="character" w:customStyle="1" w:styleId="12">
    <w:name w:val="font31"/>
    <w:basedOn w:val="5"/>
    <w:qFormat/>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5</Pages>
  <Words>323</Words>
  <Characters>1847</Characters>
  <Lines>15</Lines>
  <Paragraphs>4</Paragraphs>
  <TotalTime>5</TotalTime>
  <ScaleCrop>false</ScaleCrop>
  <LinksUpToDate>false</LinksUpToDate>
  <CharactersWithSpaces>2166</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2021-01-20T03:46:00Z</dcterms:created>
  <dc:creator>Windows User</dc:creator>
  <cp:lastModifiedBy>堪々孞啨</cp:lastModifiedBy>
  <cp:lastPrinted>2021-10-09T02:11:00Z</cp:lastPrinted>
  <dcterms:modified xsi:type="dcterms:W3CDTF">2021-10-11T08:00:25Z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