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（项目编号：ZR2021</w:t>
      </w:r>
      <w:r>
        <w:rPr>
          <w:rFonts w:hint="eastAsia" w:ascii="宋体" w:hAnsi="宋体"/>
          <w:b/>
          <w:bCs/>
          <w:color w:val="000000" w:themeColor="text1"/>
          <w:sz w:val="24"/>
        </w:rPr>
        <w:t>-</w:t>
      </w:r>
      <w:r>
        <w:rPr>
          <w:rFonts w:hint="eastAsia" w:ascii="宋体" w:hAnsi="宋体"/>
          <w:b/>
          <w:bCs/>
          <w:color w:val="000000" w:themeColor="text1"/>
          <w:sz w:val="24"/>
          <w:lang w:val="en-US" w:eastAsia="zh-CN"/>
        </w:rPr>
        <w:t>16</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2688592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龙岩市莲西路市公共资源交易中心七层</w:t>
      </w:r>
    </w:p>
    <w:p>
      <w:pPr>
        <w:spacing w:line="360" w:lineRule="exact"/>
        <w:ind w:firstLine="1320" w:firstLineChars="550"/>
        <w:rPr>
          <w:rFonts w:asciiTheme="minorEastAsia" w:hAnsiTheme="minorEastAsia" w:eastAsiaTheme="minorEastAsia"/>
          <w:color w:val="000000" w:themeColor="text1"/>
          <w:sz w:val="24"/>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3"/>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w:t>
      </w:r>
      <w:r>
        <w:fldChar w:fldCharType="begin"/>
      </w:r>
      <w:r>
        <w:instrText xml:space="preserve"> HYPERLINK "http://www.lyggzy.com.cn/" </w:instrText>
      </w:r>
      <w:r>
        <w:fldChar w:fldCharType="separate"/>
      </w:r>
      <w:r>
        <w:rPr>
          <w:rStyle w:val="13"/>
          <w:rFonts w:hint="eastAsia" w:asciiTheme="minorEastAsia" w:hAnsiTheme="minorEastAsia" w:eastAsiaTheme="minorEastAsia"/>
          <w:color w:val="000000" w:themeColor="text1"/>
          <w:spacing w:val="18"/>
          <w:sz w:val="24"/>
          <w:u w:val="none"/>
        </w:rPr>
        <w:t>www.lyggzy.com.cn</w:t>
      </w:r>
      <w:r>
        <w:rPr>
          <w:rStyle w:val="13"/>
          <w:rFonts w:hint="eastAsia" w:asciiTheme="minorEastAsia" w:hAnsiTheme="minorEastAsia" w:eastAsiaTheme="minorEastAsia"/>
          <w:color w:val="000000" w:themeColor="text1"/>
          <w:spacing w:val="18"/>
          <w:sz w:val="24"/>
          <w:u w:val="none"/>
        </w:rPr>
        <w:fldChar w:fldCharType="end"/>
      </w:r>
      <w:r>
        <w:rPr>
          <w:rFonts w:hint="eastAsia" w:asciiTheme="minorEastAsia" w:hAnsiTheme="minorEastAsia" w:eastAsiaTheme="minorEastAsia"/>
          <w:color w:val="000000" w:themeColor="text1"/>
          <w:sz w:val="24"/>
        </w:rPr>
        <w:t xml:space="preserve">  </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二</w:t>
      </w:r>
      <w:r>
        <w:rPr>
          <w:rFonts w:hint="eastAsia" w:asciiTheme="minorEastAsia" w:hAnsiTheme="minorEastAsia" w:eastAsiaTheme="minorEastAsia"/>
          <w:b/>
          <w:sz w:val="30"/>
          <w:szCs w:val="30"/>
        </w:rPr>
        <w:t>年</w:t>
      </w:r>
      <w:r>
        <w:rPr>
          <w:rFonts w:hint="eastAsia" w:asciiTheme="minorEastAsia" w:hAnsiTheme="minorEastAsia" w:eastAsiaTheme="minorEastAsia"/>
          <w:b/>
          <w:color w:val="auto"/>
          <w:sz w:val="30"/>
          <w:szCs w:val="30"/>
          <w:lang w:eastAsia="zh-CN"/>
        </w:rPr>
        <w:t>三</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8.股权转让合同(格式)；</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9.</w:t>
      </w:r>
      <w:r>
        <w:rPr>
          <w:rFonts w:hint="eastAsia" w:asciiTheme="minorEastAsia" w:hAnsiTheme="minorEastAsia" w:eastAsiaTheme="minorEastAsia"/>
          <w:color w:val="000000" w:themeColor="text1"/>
          <w:sz w:val="28"/>
          <w:szCs w:val="30"/>
          <w:lang w:eastAsia="zh-CN"/>
        </w:rPr>
        <w:t>福中淮审字</w:t>
      </w:r>
      <w:r>
        <w:rPr>
          <w:rFonts w:hint="eastAsia" w:asciiTheme="minorEastAsia" w:hAnsiTheme="minorEastAsia" w:eastAsiaTheme="minorEastAsia"/>
          <w:color w:val="000000" w:themeColor="text1"/>
          <w:sz w:val="28"/>
          <w:szCs w:val="30"/>
          <w:lang w:val="en-US" w:eastAsia="zh-CN"/>
        </w:rPr>
        <w:t>CPA</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202</w:t>
      </w:r>
      <w:r>
        <w:rPr>
          <w:rFonts w:hint="eastAsia" w:asciiTheme="minorEastAsia" w:hAnsiTheme="minorEastAsia" w:eastAsiaTheme="minorEastAsia"/>
          <w:color w:val="000000" w:themeColor="text1"/>
          <w:sz w:val="28"/>
          <w:szCs w:val="30"/>
          <w:lang w:val="en-US" w:eastAsia="zh-CN"/>
        </w:rPr>
        <w:t>2</w:t>
      </w:r>
      <w:r>
        <w:rPr>
          <w:rFonts w:hint="eastAsia" w:asciiTheme="minorEastAsia" w:hAnsiTheme="minorEastAsia" w:eastAsiaTheme="minorEastAsia"/>
          <w:color w:val="000000" w:themeColor="text1"/>
          <w:sz w:val="28"/>
          <w:szCs w:val="30"/>
          <w:lang w:eastAsia="zh-CN"/>
        </w:rPr>
        <w:t>）</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DJY072</w:t>
      </w:r>
      <w:r>
        <w:rPr>
          <w:rFonts w:hint="eastAsia" w:asciiTheme="minorEastAsia" w:hAnsiTheme="minorEastAsia" w:eastAsiaTheme="minorEastAsia"/>
          <w:color w:val="000000" w:themeColor="text1"/>
          <w:sz w:val="28"/>
          <w:szCs w:val="30"/>
        </w:rPr>
        <w:t>号《审计报告》复印件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30"/>
        </w:rPr>
        <w:t>10.</w:t>
      </w:r>
      <w:r>
        <w:rPr>
          <w:rFonts w:hint="eastAsia" w:asciiTheme="minorEastAsia" w:hAnsiTheme="minorEastAsia" w:eastAsiaTheme="minorEastAsia"/>
          <w:color w:val="000000" w:themeColor="text1"/>
          <w:sz w:val="28"/>
          <w:szCs w:val="30"/>
          <w:lang w:eastAsia="zh-CN"/>
        </w:rPr>
        <w:t>岩泰评报</w:t>
      </w:r>
      <w:r>
        <w:rPr>
          <w:rFonts w:hint="eastAsia" w:asciiTheme="minorEastAsia" w:hAnsiTheme="minorEastAsia" w:eastAsiaTheme="minorEastAsia"/>
          <w:color w:val="000000" w:themeColor="text1"/>
          <w:sz w:val="28"/>
          <w:szCs w:val="30"/>
        </w:rPr>
        <w:t>字[202</w:t>
      </w:r>
      <w:r>
        <w:rPr>
          <w:rFonts w:hint="eastAsia" w:asciiTheme="minorEastAsia" w:hAnsiTheme="minorEastAsia" w:eastAsiaTheme="minorEastAsia"/>
          <w:color w:val="000000" w:themeColor="text1"/>
          <w:sz w:val="28"/>
          <w:szCs w:val="30"/>
          <w:lang w:val="en-US" w:eastAsia="zh-CN"/>
        </w:rPr>
        <w:t>1</w:t>
      </w:r>
      <w:r>
        <w:rPr>
          <w:rFonts w:hint="eastAsia" w:asciiTheme="minorEastAsia" w:hAnsiTheme="minorEastAsia" w:eastAsiaTheme="minorEastAsia"/>
          <w:color w:val="000000" w:themeColor="text1"/>
          <w:sz w:val="28"/>
          <w:szCs w:val="30"/>
        </w:rPr>
        <w:t>]第</w:t>
      </w:r>
      <w:r>
        <w:rPr>
          <w:rFonts w:hint="eastAsia" w:asciiTheme="minorEastAsia" w:hAnsiTheme="minorEastAsia" w:eastAsiaTheme="minorEastAsia"/>
          <w:color w:val="000000" w:themeColor="text1"/>
          <w:sz w:val="28"/>
          <w:szCs w:val="30"/>
          <w:lang w:val="en-US" w:eastAsia="zh-CN"/>
        </w:rPr>
        <w:t>100</w:t>
      </w:r>
      <w:r>
        <w:rPr>
          <w:rFonts w:hint="eastAsia" w:asciiTheme="minorEastAsia" w:hAnsiTheme="minorEastAsia" w:eastAsiaTheme="minorEastAsia"/>
          <w:color w:val="000000" w:themeColor="text1"/>
          <w:sz w:val="28"/>
          <w:szCs w:val="30"/>
        </w:rPr>
        <w:t>号《评估报告》复印件</w:t>
      </w:r>
      <w:r>
        <w:rPr>
          <w:rFonts w:hint="eastAsia" w:asciiTheme="minorEastAsia" w:hAnsiTheme="minorEastAsia" w:eastAsiaTheme="minorEastAsia"/>
          <w:color w:val="000000" w:themeColor="text1"/>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竞买人应当面认真核对所购材料是否与《文件清单》所列一致，若有缺，请即时提出更换；如相一致，请签名确认后，交回龙岩市产权交易中心有限公司壹份存档。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3"/>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w:t>
      </w:r>
      <w:r>
        <w:rPr>
          <w:rFonts w:hint="eastAsia" w:ascii="宋体" w:hAnsi="宋体" w:eastAsiaTheme="minorEastAsia"/>
          <w:color w:val="000000" w:themeColor="text1"/>
          <w:sz w:val="24"/>
          <w:lang w:eastAsia="zh-CN"/>
        </w:rPr>
        <w:t>福建省海峡客家旅游</w:t>
      </w:r>
      <w:r>
        <w:rPr>
          <w:rFonts w:hint="eastAsia" w:ascii="宋体" w:hAnsi="宋体"/>
          <w:color w:val="000000" w:themeColor="text1"/>
          <w:sz w:val="24"/>
        </w:rPr>
        <w:t>有限公司</w:t>
      </w:r>
      <w:r>
        <w:rPr>
          <w:rFonts w:hint="eastAsia" w:asciiTheme="minorEastAsia" w:hAnsiTheme="minorEastAsia" w:eastAsiaTheme="minorEastAsia"/>
          <w:color w:val="000000" w:themeColor="text1"/>
          <w:sz w:val="24"/>
        </w:rPr>
        <w:t>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3"/>
          <w:rFonts w:hint="eastAsia" w:asciiTheme="minorEastAsia" w:hAnsiTheme="minorEastAsia" w:eastAsiaTheme="minorEastAsia"/>
          <w:color w:val="auto"/>
          <w:sz w:val="24"/>
          <w:shd w:val="clear" w:color="auto" w:fill="FFFFFF"/>
        </w:rPr>
        <w:t>https://www.unibid.cn</w:t>
      </w:r>
      <w:r>
        <w:rPr>
          <w:rStyle w:val="13"/>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2688592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龙岩市莲西路市公共资源交易中心七层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1</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13600990601</w:t>
      </w:r>
      <w:r>
        <w:rPr>
          <w:rFonts w:hint="eastAsia" w:asciiTheme="minorEastAsia" w:hAnsiTheme="minorEastAsia" w:eastAsiaTheme="minorEastAsia"/>
          <w:color w:val="000000" w:themeColor="text1"/>
          <w:sz w:val="24"/>
          <w:lang w:eastAsia="zh-CN"/>
        </w:rPr>
        <w:t>林</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themeColor="text1"/>
          <w:sz w:val="24"/>
          <w:lang w:val="en-US" w:eastAsia="zh-CN"/>
        </w:rPr>
        <w:t>175</w:t>
      </w:r>
      <w:r>
        <w:rPr>
          <w:rFonts w:hint="eastAsia" w:ascii="宋体" w:hAnsi="宋体"/>
          <w:color w:val="000000" w:themeColor="text1"/>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w:t>
      </w:r>
      <w:r>
        <w:rPr>
          <w:rFonts w:hint="eastAsia" w:ascii="宋体" w:hAnsi="宋体" w:eastAsia="宋体" w:cs="宋体"/>
          <w:sz w:val="24"/>
          <w:szCs w:val="24"/>
        </w:rPr>
        <w:t>龙岩市龙行汽车服务有限公司成立于2014年07月18日，统一社会信用代码编号：913508003106550105，经营期限2014年07月18日至2044年07月17日。公司住所：福建省龙岩市新罗区龙门镇物流大道163-79一楼2号店（枫榔新村）。法定代表人：加磊。注册资本：500万元。公司经营范围：汽车租赁；住房租赁经营；代驾服务；专业停车场服务；设计、制作、代理、发布国内各类广告；集中式快速充电站；分布式交流充电桩销售；其他未列明的节能技术推广服务；其他机械设备及电子产品批发；汽车及配件批发；汽车专项维修；二手车零售；互联网接入服务业务。（依法须经批准的项目，经相关部门批准后方可开展经营活动）。</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391"/>
        <w:gridCol w:w="232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391"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32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1</w:t>
            </w:r>
          </w:p>
        </w:tc>
        <w:tc>
          <w:tcPr>
            <w:tcW w:w="3391" w:type="dxa"/>
            <w:noWrap w:val="0"/>
            <w:vAlign w:val="top"/>
          </w:tcPr>
          <w:p>
            <w:pPr>
              <w:spacing w:line="520" w:lineRule="exact"/>
              <w:rPr>
                <w:rFonts w:hint="eastAsia" w:ascii="宋体" w:hAnsi="宋体"/>
                <w:color w:val="000000"/>
                <w:sz w:val="24"/>
                <w:szCs w:val="24"/>
              </w:rPr>
            </w:pPr>
            <w:r>
              <w:rPr>
                <w:rFonts w:hint="eastAsia" w:ascii="宋体" w:hAnsi="宋体" w:eastAsia="宋体" w:cs="宋体"/>
                <w:sz w:val="24"/>
                <w:szCs w:val="24"/>
              </w:rPr>
              <w:t>加磊</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325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65</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w:t>
            </w:r>
          </w:p>
        </w:tc>
        <w:tc>
          <w:tcPr>
            <w:tcW w:w="3391" w:type="dxa"/>
            <w:noWrap w:val="0"/>
            <w:vAlign w:val="top"/>
          </w:tcPr>
          <w:p>
            <w:pPr>
              <w:spacing w:line="520" w:lineRule="exact"/>
              <w:rPr>
                <w:rFonts w:hint="eastAsia" w:ascii="宋体" w:hAnsi="宋体" w:eastAsia="宋体" w:cs="宋体"/>
                <w:color w:val="000000"/>
                <w:sz w:val="24"/>
                <w:szCs w:val="24"/>
              </w:rPr>
            </w:pPr>
            <w:r>
              <w:rPr>
                <w:rFonts w:hint="eastAsia"/>
                <w:lang w:val="en-US" w:eastAsia="zh-CN"/>
              </w:rPr>
              <w:t>福建省海峡客家旅游有限公司</w:t>
            </w:r>
          </w:p>
        </w:tc>
        <w:tc>
          <w:tcPr>
            <w:tcW w:w="232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175</w:t>
            </w:r>
          </w:p>
        </w:tc>
        <w:tc>
          <w:tcPr>
            <w:tcW w:w="160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35</w:t>
            </w:r>
            <w:r>
              <w:rPr>
                <w:rFonts w:hint="eastAsia" w:ascii="宋体" w:hAnsi="宋体"/>
                <w:color w:val="000000"/>
                <w:sz w:val="24"/>
                <w:szCs w:val="24"/>
              </w:rPr>
              <w:t>%</w:t>
            </w:r>
          </w:p>
        </w:tc>
      </w:tr>
    </w:tbl>
    <w:p>
      <w:pPr>
        <w:spacing w:line="520" w:lineRule="exact"/>
        <w:rPr>
          <w:rFonts w:hint="eastAsia" w:ascii="宋体" w:hAnsi="宋体"/>
          <w:color w:val="000000"/>
          <w:sz w:val="24"/>
        </w:rPr>
      </w:pPr>
    </w:p>
    <w:p>
      <w:pPr>
        <w:numPr>
          <w:ilvl w:val="0"/>
          <w:numId w:val="1"/>
        </w:numPr>
        <w:spacing w:line="520" w:lineRule="exact"/>
        <w:ind w:firstLine="480" w:firstLineChars="200"/>
        <w:jc w:val="left"/>
        <w:rPr>
          <w:rFonts w:hint="eastAsia" w:ascii="宋体" w:hAnsi="宋体"/>
          <w:color w:val="000000"/>
          <w:sz w:val="24"/>
        </w:rPr>
      </w:pPr>
      <w:r>
        <w:rPr>
          <w:rFonts w:hint="eastAsia" w:ascii="宋体" w:hAnsi="宋体"/>
          <w:color w:val="000000"/>
          <w:sz w:val="24"/>
        </w:rPr>
        <w:t>标的公司近期财务指标（金额单位：人民币万元）</w:t>
      </w:r>
    </w:p>
    <w:tbl>
      <w:tblPr>
        <w:tblStyle w:val="8"/>
        <w:tblW w:w="8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2039"/>
        <w:gridCol w:w="2262"/>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pict>
                <v:line id="__TH_L11" o:spid="_x0000_s1131" o:spt="20" style="position:absolute;left:0pt;margin-left:-5.4pt;margin-top:1.6pt;height:31.4pt;width:96.75pt;z-index:251659264;mso-width-relative:page;mso-height-relative:page;" stroked="t" coordsize="21600,21600">
                  <v:path arrowok="t"/>
                  <v:fill focussize="0,0"/>
                  <v:stroke weight="0.5pt"/>
                  <v:imagedata o:title=""/>
                  <o:lock v:ext="edit"/>
                </v:line>
              </w:pict>
            </w:r>
            <w:r>
              <w:rPr>
                <w:rFonts w:hint="eastAsia" w:ascii="宋体" w:hAnsi="宋体"/>
                <w:color w:val="000000"/>
                <w:sz w:val="24"/>
                <w:szCs w:val="24"/>
              </w:rPr>
              <w:pict>
                <v:shape id="__TH_B2215" o:spid="_x0000_s1132" o:spt="202" type="#_x0000_t202" style="position:absolute;left:0pt;margin-left:35.8pt;margin-top:19.9pt;height:13.1pt;width:15pt;z-index:251663360;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目</w:t>
                        </w:r>
                      </w:p>
                    </w:txbxContent>
                  </v:textbox>
                </v:shape>
              </w:pict>
            </w:r>
            <w:r>
              <w:rPr>
                <w:rFonts w:hint="eastAsia" w:ascii="宋体" w:hAnsi="宋体"/>
                <w:color w:val="000000"/>
                <w:sz w:val="24"/>
                <w:szCs w:val="24"/>
              </w:rPr>
              <w:pict>
                <v:shape id="__TH_B1213" o:spid="_x0000_s1133" o:spt="202" type="#_x0000_t202" style="position:absolute;left:0pt;margin-left:63.65pt;margin-top:6.75pt;height:13.15pt;width:14.95pt;z-index:251661312;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份</w:t>
                        </w:r>
                      </w:p>
                    </w:txbxContent>
                  </v:textbox>
                </v:shape>
              </w:pict>
            </w:r>
            <w:r>
              <w:rPr>
                <w:rFonts w:hint="eastAsia" w:ascii="宋体" w:hAnsi="宋体"/>
                <w:color w:val="000000"/>
                <w:sz w:val="24"/>
                <w:szCs w:val="24"/>
              </w:rPr>
              <w:pict>
                <v:shape id="__TH_B2114" o:spid="_x0000_s1134" o:spt="202" type="#_x0000_t202" style="position:absolute;left:0pt;margin-left:4pt;margin-top:15.1pt;height:13.15pt;width:15pt;z-index:251662336;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项</w:t>
                        </w:r>
                      </w:p>
                    </w:txbxContent>
                  </v:textbox>
                </v:shape>
              </w:pict>
            </w:r>
            <w:r>
              <w:rPr>
                <w:rFonts w:hint="eastAsia" w:ascii="宋体" w:hAnsi="宋体"/>
                <w:color w:val="000000"/>
                <w:sz w:val="24"/>
                <w:szCs w:val="24"/>
              </w:rPr>
              <w:pict>
                <v:shape id="__TH_B1112" o:spid="_x0000_s1135" o:spt="202" type="#_x0000_t202" style="position:absolute;left:0pt;margin-left:35.85pt;margin-top:2pt;height:13.1pt;width:14.95pt;z-index:251660288;mso-width-relative:page;mso-height-relative:page;" filled="f" stroked="f" coordsize="21600,21600">
                  <v:path/>
                  <v:fill on="f" focussize="0,0"/>
                  <v:stroke on="f"/>
                  <v:imagedata o:title=""/>
                  <o:lock v:ext="edit"/>
                  <v:textbox inset="0mm,0mm,0mm,0mm">
                    <w:txbxContent>
                      <w:p>
                        <w:pPr>
                          <w:snapToGrid w:val="0"/>
                          <w:rPr>
                            <w:color w:val="000000"/>
                          </w:rPr>
                        </w:pPr>
                        <w:r>
                          <w:rPr>
                            <w:rFonts w:hint="eastAsia"/>
                            <w:color w:val="000000"/>
                          </w:rPr>
                          <w:t>年份</w:t>
                        </w:r>
                      </w:p>
                    </w:txbxContent>
                  </v:textbox>
                </v:shape>
              </w:pict>
            </w:r>
          </w:p>
        </w:tc>
        <w:tc>
          <w:tcPr>
            <w:tcW w:w="203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2019年</w:t>
            </w:r>
          </w:p>
        </w:tc>
        <w:tc>
          <w:tcPr>
            <w:tcW w:w="2262"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2020年</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总资产</w:t>
            </w:r>
          </w:p>
        </w:tc>
        <w:tc>
          <w:tcPr>
            <w:tcW w:w="2039"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195.21</w:t>
            </w:r>
          </w:p>
        </w:tc>
        <w:tc>
          <w:tcPr>
            <w:tcW w:w="2262"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152.31</w:t>
            </w:r>
          </w:p>
        </w:tc>
        <w:tc>
          <w:tcPr>
            <w:tcW w:w="1920" w:type="dxa"/>
            <w:noWrap w:val="0"/>
            <w:vAlign w:val="top"/>
          </w:tcPr>
          <w:p>
            <w:pPr>
              <w:spacing w:line="52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114.72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总负债</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225.45</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sz w:val="24"/>
                <w:szCs w:val="24"/>
              </w:rPr>
              <w:t>269.64</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281.05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净资产</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-30.24</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cs="宋体"/>
                <w:b w:val="0"/>
                <w:bCs w:val="0"/>
                <w:sz w:val="24"/>
                <w:szCs w:val="24"/>
                <w:lang w:val="en-US" w:eastAsia="zh-CN"/>
              </w:rPr>
              <w:t>-117.33</w:t>
            </w:r>
          </w:p>
        </w:tc>
        <w:tc>
          <w:tcPr>
            <w:tcW w:w="1920" w:type="dxa"/>
            <w:noWrap w:val="0"/>
            <w:vAlign w:val="top"/>
          </w:tcPr>
          <w:p>
            <w:pPr>
              <w:spacing w:line="520" w:lineRule="exact"/>
              <w:jc w:val="center"/>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szCs w:val="24"/>
                <w:lang w:val="en-US" w:eastAsia="zh-CN"/>
              </w:rPr>
              <w:t>-166.33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营业收入</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284.36</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232.41</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198.47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5" w:type="dxa"/>
            <w:noWrap w:val="0"/>
            <w:vAlign w:val="top"/>
          </w:tcPr>
          <w:p>
            <w:pPr>
              <w:spacing w:line="520" w:lineRule="exact"/>
              <w:rPr>
                <w:rFonts w:hint="eastAsia" w:ascii="宋体" w:hAnsi="宋体"/>
                <w:color w:val="000000"/>
                <w:sz w:val="24"/>
                <w:szCs w:val="24"/>
              </w:rPr>
            </w:pPr>
            <w:r>
              <w:rPr>
                <w:rFonts w:hint="eastAsia" w:ascii="宋体" w:hAnsi="宋体"/>
                <w:color w:val="000000"/>
                <w:sz w:val="24"/>
                <w:szCs w:val="24"/>
              </w:rPr>
              <w:t>净利润</w:t>
            </w:r>
          </w:p>
        </w:tc>
        <w:tc>
          <w:tcPr>
            <w:tcW w:w="2039"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-211.87</w:t>
            </w:r>
          </w:p>
        </w:tc>
        <w:tc>
          <w:tcPr>
            <w:tcW w:w="2262" w:type="dxa"/>
            <w:noWrap w:val="0"/>
            <w:vAlign w:val="top"/>
          </w:tcPr>
          <w:p>
            <w:pPr>
              <w:spacing w:line="520" w:lineRule="exact"/>
              <w:jc w:val="center"/>
              <w:rPr>
                <w:rFonts w:hint="eastAsia" w:ascii="宋体" w:hAnsi="宋体" w:eastAsia="宋体" w:cs="宋体"/>
                <w:color w:val="000000"/>
                <w:sz w:val="24"/>
                <w:szCs w:val="24"/>
              </w:rPr>
            </w:pPr>
            <w:r>
              <w:rPr>
                <w:rFonts w:hint="eastAsia" w:ascii="宋体" w:hAnsi="宋体" w:eastAsia="宋体" w:cs="宋体"/>
                <w:b w:val="0"/>
                <w:bCs w:val="0"/>
                <w:color w:val="000000"/>
                <w:sz w:val="24"/>
                <w:szCs w:val="24"/>
              </w:rPr>
              <w:t>-87.09</w:t>
            </w:r>
          </w:p>
        </w:tc>
        <w:tc>
          <w:tcPr>
            <w:tcW w:w="1920" w:type="dxa"/>
            <w:noWrap w:val="0"/>
            <w:vAlign w:val="top"/>
          </w:tcPr>
          <w:p>
            <w:pPr>
              <w:spacing w:line="520" w:lineRule="exact"/>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sz w:val="24"/>
                <w:szCs w:val="24"/>
                <w:lang w:val="en-US" w:eastAsia="zh-CN"/>
              </w:rPr>
              <w:t>-20.28</w:t>
            </w:r>
          </w:p>
        </w:tc>
      </w:tr>
    </w:tbl>
    <w:p>
      <w:pPr>
        <w:numPr>
          <w:ilvl w:val="0"/>
          <w:numId w:val="0"/>
        </w:numPr>
        <w:spacing w:line="520" w:lineRule="exact"/>
        <w:jc w:val="left"/>
        <w:rPr>
          <w:rFonts w:hint="eastAsia" w:ascii="宋体" w:hAnsi="宋体"/>
          <w:color w:val="000000"/>
          <w:sz w:val="24"/>
        </w:rPr>
      </w:pPr>
    </w:p>
    <w:p>
      <w:pPr>
        <w:pStyle w:val="7"/>
        <w:shd w:val="clear" w:color="auto" w:fill="FFFFFF"/>
        <w:spacing w:line="52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备注：上述表格中的财务数据为委托人提供的标的公司财务数据。</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经评估，截至评估基准日</w:t>
      </w:r>
      <w:r>
        <w:rPr>
          <w:rFonts w:hint="eastAsia" w:asciiTheme="minorEastAsia" w:hAnsiTheme="minorEastAsia" w:eastAsiaTheme="minorEastAsia" w:cstheme="minorEastAsia"/>
          <w:color w:val="000000" w:themeColor="text1"/>
          <w:sz w:val="24"/>
          <w:szCs w:val="24"/>
        </w:rPr>
        <w:t>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9</w:t>
      </w:r>
      <w:r>
        <w:rPr>
          <w:rFonts w:hint="eastAsia" w:asciiTheme="minorEastAsia" w:hAnsiTheme="minorEastAsia" w:eastAsiaTheme="minorEastAsia" w:cstheme="minorEastAsia"/>
          <w:color w:val="000000" w:themeColor="text1"/>
          <w:sz w:val="24"/>
          <w:szCs w:val="24"/>
        </w:rPr>
        <w:t>月30日</w:t>
      </w:r>
      <w:r>
        <w:rPr>
          <w:rFonts w:hint="eastAsia" w:asciiTheme="minorEastAsia" w:hAnsiTheme="minorEastAsia" w:eastAsiaTheme="minorEastAsia"/>
          <w:color w:val="000000" w:themeColor="text1"/>
          <w:sz w:val="24"/>
        </w:rPr>
        <w:t>，标的公司净资产评估价值为</w:t>
      </w:r>
      <w:r>
        <w:rPr>
          <w:rFonts w:hint="eastAsia"/>
          <w:color w:val="111111"/>
          <w:lang w:val="en-US" w:eastAsia="zh-CN"/>
        </w:rPr>
        <w:t>-1,721,002.25元</w:t>
      </w:r>
      <w:r>
        <w:rPr>
          <w:rFonts w:hint="eastAsia" w:asciiTheme="minorEastAsia" w:hAnsiTheme="minorEastAsia" w:eastAsiaTheme="minorEastAsia"/>
          <w:color w:val="000000" w:themeColor="text1"/>
          <w:sz w:val="24"/>
        </w:rPr>
        <w:t>。本次转让标的为</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asciiTheme="minorEastAsia" w:hAnsiTheme="minorEastAsia" w:eastAsiaTheme="minorEastAsia"/>
          <w:color w:val="000000" w:themeColor="text1"/>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4.标的基本情况详见</w:t>
      </w:r>
      <w:r>
        <w:rPr>
          <w:rFonts w:hint="eastAsia" w:asciiTheme="minorEastAsia" w:hAnsiTheme="minorEastAsia" w:eastAsiaTheme="minorEastAsia"/>
          <w:color w:val="000000" w:themeColor="text1"/>
          <w:sz w:val="24"/>
          <w:szCs w:val="24"/>
          <w:lang w:eastAsia="zh-CN"/>
        </w:rPr>
        <w:t>福中淮审字</w:t>
      </w:r>
      <w:r>
        <w:rPr>
          <w:rFonts w:hint="eastAsia" w:asciiTheme="minorEastAsia" w:hAnsiTheme="minorEastAsia" w:eastAsiaTheme="minorEastAsia"/>
          <w:color w:val="000000" w:themeColor="text1"/>
          <w:sz w:val="24"/>
          <w:szCs w:val="24"/>
          <w:lang w:val="en-US" w:eastAsia="zh-CN"/>
        </w:rPr>
        <w:t>CPA</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202</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lang w:eastAsia="zh-CN"/>
        </w:rPr>
        <w:t>）</w:t>
      </w:r>
      <w:r>
        <w:rPr>
          <w:rFonts w:hint="eastAsia" w:asciiTheme="minorEastAsia" w:hAnsiTheme="minorEastAsia" w:eastAsiaTheme="minorEastAsia"/>
          <w:color w:val="000000" w:themeColor="text1"/>
          <w:sz w:val="24"/>
          <w:szCs w:val="24"/>
        </w:rPr>
        <w:t>第</w:t>
      </w:r>
      <w:r>
        <w:rPr>
          <w:rFonts w:hint="eastAsia" w:asciiTheme="minorEastAsia" w:hAnsiTheme="minorEastAsia" w:eastAsiaTheme="minorEastAsia"/>
          <w:color w:val="000000" w:themeColor="text1"/>
          <w:sz w:val="24"/>
          <w:szCs w:val="24"/>
          <w:lang w:val="en-US" w:eastAsia="zh-CN"/>
        </w:rPr>
        <w:t>DJY072</w:t>
      </w:r>
      <w:r>
        <w:rPr>
          <w:rFonts w:hint="eastAsia" w:asciiTheme="minorEastAsia" w:hAnsiTheme="minorEastAsia" w:eastAsiaTheme="minorEastAsia"/>
          <w:color w:val="000000" w:themeColor="text1"/>
          <w:sz w:val="24"/>
          <w:szCs w:val="24"/>
        </w:rPr>
        <w:t>号</w:t>
      </w:r>
      <w:r>
        <w:rPr>
          <w:rFonts w:hint="eastAsia" w:asciiTheme="minorEastAsia" w:hAnsiTheme="minorEastAsia" w:eastAsiaTheme="minorEastAsia" w:cstheme="minorEastAsia"/>
          <w:color w:val="000000" w:themeColor="text1"/>
          <w:sz w:val="24"/>
          <w:szCs w:val="24"/>
        </w:rPr>
        <w:t>《审计报告》和</w:t>
      </w:r>
      <w:r>
        <w:rPr>
          <w:rFonts w:hint="eastAsia" w:asciiTheme="minorEastAsia" w:hAnsiTheme="minorEastAsia" w:eastAsiaTheme="minorEastAsia" w:cstheme="minorEastAsia"/>
          <w:color w:val="000000" w:themeColor="text1"/>
          <w:sz w:val="24"/>
          <w:szCs w:val="24"/>
          <w:lang w:eastAsia="zh-CN"/>
        </w:rPr>
        <w:t>岩泰评报</w:t>
      </w:r>
      <w:r>
        <w:rPr>
          <w:rFonts w:hint="eastAsia" w:asciiTheme="minorEastAsia" w:hAnsiTheme="minorEastAsia" w:eastAsiaTheme="minorEastAsia" w:cstheme="minorEastAsia"/>
          <w:color w:val="000000" w:themeColor="text1"/>
          <w:sz w:val="24"/>
          <w:szCs w:val="24"/>
        </w:rPr>
        <w:t>字[202</w:t>
      </w:r>
      <w:r>
        <w:rPr>
          <w:rFonts w:hint="eastAsia" w:asciiTheme="minorEastAsia" w:hAnsiTheme="minorEastAsia" w:eastAsiaTheme="minorEastAsia" w:cstheme="minorEastAsia"/>
          <w:color w:val="000000" w:themeColor="text1"/>
          <w:sz w:val="24"/>
          <w:szCs w:val="24"/>
          <w:lang w:val="en-US" w:eastAsia="zh-CN"/>
        </w:rPr>
        <w:t>1</w:t>
      </w:r>
      <w:r>
        <w:rPr>
          <w:rFonts w:hint="eastAsia" w:asciiTheme="minorEastAsia" w:hAnsiTheme="minorEastAsia" w:eastAsiaTheme="minorEastAsia" w:cstheme="minorEastAsia"/>
          <w:color w:val="000000" w:themeColor="text1"/>
          <w:sz w:val="24"/>
          <w:szCs w:val="24"/>
        </w:rPr>
        <w:t>]第</w:t>
      </w:r>
      <w:r>
        <w:rPr>
          <w:rFonts w:hint="eastAsia" w:asciiTheme="minorEastAsia" w:hAnsiTheme="minorEastAsia" w:eastAsiaTheme="minorEastAsia" w:cstheme="minorEastAsia"/>
          <w:color w:val="000000" w:themeColor="text1"/>
          <w:sz w:val="24"/>
          <w:szCs w:val="24"/>
          <w:lang w:val="en-US" w:eastAsia="zh-CN"/>
        </w:rPr>
        <w:t>100</w:t>
      </w:r>
      <w:r>
        <w:rPr>
          <w:rFonts w:hint="eastAsia" w:asciiTheme="minorEastAsia" w:hAnsiTheme="minorEastAsia" w:eastAsiaTheme="minorEastAsia" w:cstheme="minorEastAsia"/>
          <w:color w:val="000000" w:themeColor="text1"/>
          <w:sz w:val="24"/>
          <w:szCs w:val="24"/>
        </w:rPr>
        <w:t>号《评估报告》</w:t>
      </w:r>
      <w:r>
        <w:rPr>
          <w:rFonts w:hint="eastAsia" w:asciiTheme="minorEastAsia" w:hAnsiTheme="minorEastAsia" w:eastAsiaTheme="minorEastAsia"/>
          <w:color w:val="000000" w:themeColor="text1"/>
          <w:sz w:val="24"/>
        </w:rPr>
        <w:t>。</w:t>
      </w:r>
    </w:p>
    <w:p>
      <w:pPr>
        <w:spacing w:line="520" w:lineRule="exact"/>
        <w:rPr>
          <w:rFonts w:ascii="宋体" w:hAnsi="宋体"/>
          <w:b/>
          <w:color w:val="000000" w:themeColor="text1"/>
          <w:sz w:val="24"/>
        </w:rPr>
      </w:pPr>
      <w:r>
        <w:rPr>
          <w:rFonts w:hint="eastAsia" w:ascii="宋体" w:hAnsi="宋体"/>
          <w:b/>
          <w:color w:val="000000" w:themeColor="text1"/>
          <w:sz w:val="24"/>
        </w:rPr>
        <w:t>五、产权转让行为批准情况</w:t>
      </w:r>
    </w:p>
    <w:p>
      <w:pPr>
        <w:pStyle w:val="7"/>
        <w:shd w:val="clear" w:color="auto" w:fill="FFFFFF"/>
        <w:spacing w:line="520" w:lineRule="exact"/>
        <w:rPr>
          <w:color w:val="000000" w:themeColor="text1"/>
        </w:rPr>
      </w:pPr>
      <w:r>
        <w:rPr>
          <w:rFonts w:hint="eastAsia"/>
          <w:color w:val="000000" w:themeColor="text1"/>
        </w:rPr>
        <w:t>1.内部决策：</w:t>
      </w:r>
    </w:p>
    <w:p>
      <w:pPr>
        <w:pStyle w:val="7"/>
        <w:shd w:val="clear" w:color="auto" w:fill="FFFFFF"/>
        <w:spacing w:before="0" w:beforeAutospacing="0" w:after="0" w:afterAutospacing="0" w:line="520" w:lineRule="exact"/>
        <w:ind w:firstLine="480" w:firstLineChars="200"/>
        <w:rPr>
          <w:rFonts w:hint="eastAsia"/>
          <w:color w:val="000000" w:themeColor="text1"/>
        </w:rPr>
      </w:pPr>
      <w:r>
        <w:rPr>
          <w:rFonts w:hint="eastAsia"/>
          <w:color w:val="000000" w:themeColor="text1"/>
        </w:rPr>
        <w:t>（1）202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2</w:t>
      </w:r>
      <w:r>
        <w:rPr>
          <w:rFonts w:hint="eastAsia"/>
          <w:color w:val="000000" w:themeColor="text1"/>
        </w:rPr>
        <w:t>月</w:t>
      </w:r>
      <w:r>
        <w:rPr>
          <w:rFonts w:hint="eastAsia"/>
          <w:color w:val="000000" w:themeColor="text1"/>
          <w:lang w:val="en-US" w:eastAsia="zh-CN"/>
        </w:rPr>
        <w:t>24</w:t>
      </w:r>
      <w:r>
        <w:rPr>
          <w:rFonts w:hint="eastAsia"/>
          <w:color w:val="000000" w:themeColor="text1"/>
        </w:rPr>
        <w:t>日</w:t>
      </w:r>
      <w:r>
        <w:rPr>
          <w:rFonts w:hint="eastAsia"/>
          <w:color w:val="000000" w:themeColor="text1"/>
          <w:lang w:eastAsia="zh-CN"/>
        </w:rPr>
        <w:t>福建省闽西文旅产业集团</w:t>
      </w:r>
      <w:r>
        <w:rPr>
          <w:rFonts w:hint="eastAsia"/>
          <w:color w:val="000000" w:themeColor="text1"/>
        </w:rPr>
        <w:t>有限公司领导班子会议纪要同意公司转让持有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000000" w:themeColor="text1"/>
        </w:rPr>
      </w:pPr>
      <w:r>
        <w:rPr>
          <w:rFonts w:hint="eastAsia"/>
          <w:color w:val="000000" w:themeColor="text1"/>
        </w:rPr>
        <w:t>（2）202</w:t>
      </w:r>
      <w:r>
        <w:rPr>
          <w:rFonts w:hint="eastAsia"/>
          <w:color w:val="000000" w:themeColor="text1"/>
          <w:lang w:val="en-US" w:eastAsia="zh-CN"/>
        </w:rPr>
        <w:t>2</w:t>
      </w:r>
      <w:r>
        <w:rPr>
          <w:rFonts w:hint="eastAsia"/>
          <w:color w:val="000000" w:themeColor="text1"/>
        </w:rPr>
        <w:t>年</w:t>
      </w:r>
      <w:r>
        <w:rPr>
          <w:rFonts w:hint="eastAsia"/>
          <w:color w:val="000000" w:themeColor="text1"/>
          <w:lang w:val="en-US" w:eastAsia="zh-CN"/>
        </w:rPr>
        <w:t>3</w:t>
      </w:r>
      <w:r>
        <w:rPr>
          <w:rFonts w:hint="eastAsia"/>
          <w:color w:val="000000" w:themeColor="text1"/>
        </w:rPr>
        <w:t>月</w:t>
      </w:r>
      <w:r>
        <w:rPr>
          <w:rFonts w:hint="eastAsia"/>
          <w:color w:val="000000" w:themeColor="text1"/>
          <w:lang w:val="en-US" w:eastAsia="zh-CN"/>
        </w:rPr>
        <w:t>18</w:t>
      </w:r>
      <w:r>
        <w:rPr>
          <w:rFonts w:hint="eastAsia"/>
          <w:color w:val="000000" w:themeColor="text1"/>
        </w:rPr>
        <w:t>日</w:t>
      </w:r>
      <w:r>
        <w:rPr>
          <w:rFonts w:hint="eastAsia"/>
          <w:color w:val="000000" w:themeColor="text1"/>
          <w:sz w:val="24"/>
          <w:szCs w:val="24"/>
          <w:u w:val="none"/>
          <w:lang w:val="en-US" w:eastAsia="zh-CN"/>
        </w:rPr>
        <w:t>龙岩市龙行汽车服务有限公司</w:t>
      </w:r>
      <w:r>
        <w:rPr>
          <w:rFonts w:hint="eastAsia"/>
          <w:color w:val="000000"/>
          <w:lang w:eastAsia="zh-CN"/>
        </w:rPr>
        <w:t>股东</w:t>
      </w:r>
      <w:r>
        <w:rPr>
          <w:rFonts w:hint="eastAsia"/>
          <w:color w:val="000000" w:themeColor="text1"/>
        </w:rPr>
        <w:t>会决议同意公司转让持有</w:t>
      </w:r>
      <w:r>
        <w:rPr>
          <w:rFonts w:hint="eastAsia"/>
          <w:color w:val="000000" w:themeColor="text1"/>
          <w:sz w:val="24"/>
          <w:szCs w:val="24"/>
          <w:u w:val="none"/>
          <w:lang w:val="en-US" w:eastAsia="zh-CN"/>
        </w:rPr>
        <w:t>龙岩市龙行汽车服务有限公司</w:t>
      </w:r>
      <w:r>
        <w:rPr>
          <w:rFonts w:hint="eastAsia" w:ascii="宋体" w:hAnsi="宋体" w:eastAsia="宋体" w:cs="宋体"/>
          <w:color w:val="000000" w:themeColor="text1"/>
          <w:sz w:val="24"/>
          <w:szCs w:val="24"/>
        </w:rPr>
        <w:t>35%</w:t>
      </w:r>
      <w:r>
        <w:rPr>
          <w:rFonts w:hint="eastAsia"/>
          <w:color w:val="000000" w:themeColor="text1"/>
          <w:sz w:val="24"/>
          <w:szCs w:val="24"/>
          <w:u w:val="none"/>
          <w:lang w:val="en-US" w:eastAsia="zh-CN"/>
        </w:rPr>
        <w:t>股权</w:t>
      </w:r>
      <w:r>
        <w:rPr>
          <w:rFonts w:hint="eastAsia"/>
          <w:color w:val="000000" w:themeColor="text1"/>
        </w:rPr>
        <w:t>。</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7"/>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000000"/>
        </w:rPr>
        <w:t>202</w:t>
      </w:r>
      <w:r>
        <w:rPr>
          <w:rFonts w:hint="eastAsia"/>
          <w:color w:val="000000"/>
          <w:lang w:val="en-US" w:eastAsia="zh-CN"/>
        </w:rPr>
        <w:t>2</w:t>
      </w:r>
      <w:r>
        <w:rPr>
          <w:rFonts w:hint="eastAsia"/>
          <w:color w:val="000000"/>
        </w:rPr>
        <w:t>年</w:t>
      </w:r>
      <w:r>
        <w:rPr>
          <w:rFonts w:hint="eastAsia"/>
          <w:color w:val="000000"/>
          <w:lang w:val="en-US" w:eastAsia="zh-CN"/>
        </w:rPr>
        <w:t>3</w:t>
      </w:r>
      <w:r>
        <w:rPr>
          <w:rFonts w:hint="eastAsia"/>
          <w:color w:val="000000"/>
        </w:rPr>
        <w:t>月7日龙岩</w:t>
      </w:r>
      <w:r>
        <w:rPr>
          <w:rFonts w:hint="eastAsia"/>
          <w:color w:val="000000"/>
          <w:lang w:eastAsia="zh-CN"/>
        </w:rPr>
        <w:t>文旅汇金发展集团</w:t>
      </w:r>
      <w:r>
        <w:rPr>
          <w:rFonts w:hint="eastAsia"/>
          <w:color w:val="000000"/>
        </w:rPr>
        <w:t>有限公司批复同意</w:t>
      </w:r>
      <w:r>
        <w:rPr>
          <w:rFonts w:hint="eastAsia"/>
          <w:color w:val="000000"/>
          <w:lang w:eastAsia="zh-CN"/>
        </w:rPr>
        <w:t>福建省闽西文旅产业集团</w:t>
      </w:r>
      <w:r>
        <w:rPr>
          <w:rFonts w:hint="eastAsia"/>
          <w:color w:val="000000"/>
        </w:rPr>
        <w:t>有限公司按照国有资产转让管理办法公开挂牌转让其持有的</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color w:val="000000"/>
        </w:rPr>
        <w:t>（</w:t>
      </w:r>
      <w:r>
        <w:rPr>
          <w:rFonts w:hint="eastAsia"/>
          <w:color w:val="000000"/>
          <w:lang w:eastAsia="zh-CN"/>
        </w:rPr>
        <w:t>文汇党纪</w:t>
      </w:r>
      <w:r>
        <w:rPr>
          <w:rFonts w:hint="eastAsia"/>
          <w:color w:val="000000"/>
        </w:rPr>
        <w:t>【202</w:t>
      </w:r>
      <w:r>
        <w:rPr>
          <w:rFonts w:hint="eastAsia"/>
          <w:color w:val="000000"/>
          <w:lang w:val="en-US" w:eastAsia="zh-CN"/>
        </w:rPr>
        <w:t>2</w:t>
      </w:r>
      <w:r>
        <w:rPr>
          <w:rFonts w:hint="eastAsia"/>
          <w:color w:val="000000"/>
        </w:rPr>
        <w:t>】</w:t>
      </w:r>
      <w:r>
        <w:rPr>
          <w:rFonts w:hint="eastAsia"/>
          <w:color w:val="000000"/>
          <w:lang w:val="en-US" w:eastAsia="zh-CN"/>
        </w:rPr>
        <w:t>9</w:t>
      </w:r>
      <w:r>
        <w:rPr>
          <w:rFonts w:hint="eastAsia"/>
          <w:color w:val="000000"/>
        </w:rPr>
        <w:t>号）</w:t>
      </w:r>
      <w:r>
        <w:rPr>
          <w:rFonts w:hint="eastAsia"/>
          <w:color w:val="000000"/>
          <w:lang w:eastAsia="zh-CN"/>
        </w:rPr>
        <w:t>。</w:t>
      </w:r>
    </w:p>
    <w:p>
      <w:pPr>
        <w:pStyle w:val="7"/>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1.凡遵守中华人民共和国法律、法规、具有独立法人资格的国内外企业均可参加竞买，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2.具有良好的财务状况和支付能力，具有良好的商业信用。</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3.此次转让不接受联合体报名。</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7"/>
        <w:shd w:val="clear" w:color="auto" w:fill="FFFFFF"/>
        <w:spacing w:line="520" w:lineRule="exact"/>
        <w:ind w:firstLine="0" w:firstLineChars="0"/>
        <w:rPr>
          <w:rFonts w:asciiTheme="minorEastAsia" w:hAnsiTheme="minorEastAsia" w:eastAsiaTheme="minorEastAsia"/>
          <w:color w:val="111111"/>
        </w:rPr>
      </w:pPr>
      <w:r>
        <w:rPr>
          <w:rStyle w:val="11"/>
          <w:rFonts w:hint="eastAsia" w:asciiTheme="minorEastAsia" w:hAnsiTheme="minorEastAsia" w:eastAsiaTheme="minorEastAsia"/>
          <w:color w:val="111111"/>
        </w:rPr>
        <w:t>七、竞买人（受让方）应接受的主要交易条件</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1.受让方必须在成交之日起5个工作日内签订《股权转让合同》，并</w:t>
      </w:r>
      <w:r>
        <w:rPr>
          <w:rFonts w:hint="eastAsia" w:asciiTheme="minorEastAsia" w:hAnsiTheme="minorEastAsia" w:eastAsiaTheme="minorEastAsia"/>
          <w:color w:val="000000" w:themeColor="text1"/>
        </w:rPr>
        <w:t>一次性付清全部转让价款。</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2.转让标的的交易基准日为评估基准日，自交易基准日起至股权工商变更完成之日止，标的公司期间产生的盈利或亏损，由受让方按照其受让后的持股比例享有或承担。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5.标的企业职工由股权变更后标的企业全部承接，委托人不负责职工安置，不承担解除劳动关系经济补偿金。</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6.标的企业其他原股东享有优先受让权。</w:t>
      </w:r>
    </w:p>
    <w:p>
      <w:pPr>
        <w:pStyle w:val="7"/>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7.其他交易条件以竞价文件和转、受让双方签订的《股权转让合同》为准。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35</w:t>
      </w:r>
      <w:r>
        <w:rPr>
          <w:rFonts w:hint="eastAsia" w:asciiTheme="minorEastAsia" w:hAnsiTheme="minorEastAsia" w:eastAsiaTheme="minorEastAsia"/>
          <w:sz w:val="24"/>
          <w:szCs w:val="24"/>
        </w:rPr>
        <w:t>万元，竞买人必须在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5</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w:t>
      </w:r>
      <w:r>
        <w:rPr>
          <w:rFonts w:hint="eastAsia" w:ascii="宋体" w:hAnsi="宋体" w:cs="宋体"/>
          <w:kern w:val="0"/>
          <w:sz w:val="24"/>
          <w:szCs w:val="24"/>
          <w:lang w:eastAsia="zh-CN"/>
        </w:rPr>
        <w:t>以权益云交易平台指定的账号为准</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Style w:val="12"/>
          <w:rFonts w:hint="eastAsia" w:asciiTheme="minorEastAsia" w:hAnsiTheme="minorEastAsia" w:eastAsiaTheme="minorEastAsia"/>
          <w:color w:val="000000"/>
          <w:sz w:val="24"/>
        </w:rPr>
        <w:t>，</w:t>
      </w:r>
      <w:r>
        <w:rPr>
          <w:rStyle w:val="12"/>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（1）《企业法人营业执照》副本；</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asciiTheme="minorEastAsia" w:hAnsiTheme="minorEastAsia" w:eastAsiaTheme="minorEastAsia"/>
          <w:sz w:val="24"/>
        </w:rPr>
        <w:t>法定代表人资格证明书；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（3）法定代表人身份证；</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（4）</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（5）挂牌竞价转让文件清单签收确认单；</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3.竞买人应自行至权益云网站学习竞价流程，注册竞价系统账号并在报名截止时间之前登录竞价系统申请竞价（</w:t>
      </w:r>
      <w:r>
        <w:rPr>
          <w:rFonts w:cs="宋体" w:asciiTheme="minorEastAsia" w:hAnsiTheme="minorEastAsia" w:eastAsiaTheme="minorEastAsia"/>
          <w:b/>
          <w:bCs/>
          <w:color w:val="000000" w:themeColor="text1"/>
          <w:kern w:val="0"/>
          <w:sz w:val="24"/>
        </w:rPr>
        <w:t>支持微信公众号“权益云交易平台”</w:t>
      </w:r>
      <w:r>
        <w:rPr>
          <w:rFonts w:cs="宋体" w:asciiTheme="minorEastAsia" w:hAnsiTheme="minorEastAsia" w:eastAsiaTheme="minorEastAsia"/>
          <w:color w:val="000000" w:themeColor="text1"/>
          <w:kern w:val="0"/>
          <w:sz w:val="24"/>
        </w:rPr>
        <w:t>），根据流程上传相关资料，若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4.如委托人撤回竞价标的，竞买人已经交保证金的，保证金即予无息退还，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3.同等条件下，标的企业其他原股东享有优先受让权。</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买受人竞得转让标的后，参照原（龙发改价管[2018]27号）文规定标准的六折向本公司支付交易服务费（含交易佣金及鉴证费，分档累进计算），</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1.买受人必须在成交之日起五个工作日内一次性付清全部转让款；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充抵转让款，</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w:t>
      </w:r>
      <w:r>
        <w:rPr>
          <w:rFonts w:hint="eastAsia" w:ascii="宋体" w:hAnsi="宋体" w:cs="宋体"/>
          <w:kern w:val="0"/>
          <w:sz w:val="24"/>
          <w:lang w:eastAsia="zh-CN"/>
        </w:rPr>
        <w:t>以权益云交易平台指定的账号为准</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2.买受人未按本规定支付标的转让款、交易服务费的，竞买保证金不予退还，同时《成交确认书》自动失效，委托人有权将标的收回另行处理。</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竞价转让文件如有更正修改，公告将在龙岩产权交易网（http://</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"http://https://www.lyggzy.com.cn" </w:instrText>
      </w:r>
      <w:r>
        <w:rPr>
          <w:rFonts w:hint="eastAsia" w:asciiTheme="minorEastAsia" w:hAnsiTheme="minorEastAsia" w:eastAsiaTheme="minorEastAsia" w:cstheme="minorEastAsia"/>
          <w:color w:val="000000" w:themeColor="text1"/>
          <w:sz w:val="24"/>
        </w:rPr>
        <w:fldChar w:fldCharType="separate"/>
      </w:r>
      <w:r>
        <w:rPr>
          <w:rStyle w:val="13"/>
          <w:rFonts w:hint="eastAsia" w:asciiTheme="minorEastAsia" w:hAnsiTheme="minorEastAsia" w:eastAsiaTheme="minorEastAsia" w:cstheme="minorEastAsia"/>
          <w:color w:val="000000" w:themeColor="text1"/>
          <w:sz w:val="24"/>
        </w:rPr>
        <w:t>https://www.lyggzy.com.cn</w:t>
      </w:r>
      <w:r>
        <w:rPr>
          <w:rStyle w:val="13"/>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1.本次转让标的公司股权评估基准日为</w:t>
      </w:r>
      <w:r>
        <w:rPr>
          <w:rFonts w:hint="eastAsia" w:asciiTheme="minorEastAsia" w:hAnsiTheme="minorEastAsia" w:eastAsiaTheme="minorEastAsia" w:cstheme="minorEastAsia"/>
          <w:b/>
          <w:bCs/>
          <w:color w:val="111111"/>
          <w:sz w:val="24"/>
          <w:szCs w:val="24"/>
        </w:rPr>
        <w:t>202</w:t>
      </w:r>
      <w:r>
        <w:rPr>
          <w:rFonts w:hint="eastAsia" w:asciiTheme="minorEastAsia" w:hAnsiTheme="minorEastAsia" w:eastAsiaTheme="minorEastAsia" w:cstheme="minorEastAsia"/>
          <w:b/>
          <w:bCs/>
          <w:color w:val="111111"/>
          <w:sz w:val="24"/>
          <w:szCs w:val="24"/>
          <w:lang w:val="en-US" w:eastAsia="zh-CN"/>
        </w:rPr>
        <w:t>1</w:t>
      </w:r>
      <w:r>
        <w:rPr>
          <w:rFonts w:hint="eastAsia" w:asciiTheme="minorEastAsia" w:hAnsiTheme="minorEastAsia" w:eastAsiaTheme="minorEastAsia" w:cstheme="minorEastAsia"/>
          <w:b/>
          <w:bCs/>
          <w:color w:val="111111"/>
          <w:sz w:val="24"/>
          <w:szCs w:val="24"/>
        </w:rPr>
        <w:t>年</w:t>
      </w:r>
      <w:r>
        <w:rPr>
          <w:rFonts w:hint="eastAsia" w:asciiTheme="minorEastAsia" w:hAnsiTheme="minorEastAsia" w:eastAsiaTheme="minorEastAsia" w:cstheme="minorEastAsia"/>
          <w:b/>
          <w:bCs/>
          <w:color w:val="111111"/>
          <w:sz w:val="24"/>
          <w:szCs w:val="24"/>
          <w:lang w:val="en-US" w:eastAsia="zh-CN"/>
        </w:rPr>
        <w:t>9</w:t>
      </w:r>
      <w:r>
        <w:rPr>
          <w:rFonts w:hint="eastAsia" w:asciiTheme="minorEastAsia" w:hAnsiTheme="minorEastAsia" w:eastAsiaTheme="minorEastAsia" w:cstheme="minorEastAsia"/>
          <w:b/>
          <w:bCs/>
          <w:color w:val="111111"/>
          <w:sz w:val="24"/>
          <w:szCs w:val="24"/>
        </w:rPr>
        <w:t>月30日</w:t>
      </w:r>
      <w:r>
        <w:rPr>
          <w:rFonts w:hint="eastAsia" w:asciiTheme="minorEastAsia" w:hAnsiTheme="minorEastAsia" w:eastAsiaTheme="minorEastAsia"/>
          <w:b/>
          <w:sz w:val="24"/>
        </w:rPr>
        <w:t>，评估基准日至交割日的损益由受让方承接；资产、负债和权益的移交以股权交割日的现状为准。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31</w:t>
      </w:r>
      <w:r>
        <w:rPr>
          <w:rFonts w:hint="eastAsia" w:asciiTheme="minorEastAsia" w:hAnsiTheme="minorEastAsia" w:eastAsiaTheme="minorEastAsia"/>
          <w:color w:val="auto"/>
          <w:sz w:val="24"/>
        </w:rPr>
        <w:t>日</w:t>
      </w:r>
      <w:bookmarkStart w:id="0" w:name="_GoBack"/>
      <w:bookmarkEnd w:id="0"/>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收悉《挂牌竞价转让文件清单》（项目编号：ZR2021-</w:t>
      </w:r>
      <w:r>
        <w:rPr>
          <w:rFonts w:hint="eastAsia" w:asciiTheme="minorEastAsia" w:hAnsiTheme="minorEastAsia" w:eastAsiaTheme="minorEastAsia"/>
          <w:sz w:val="24"/>
          <w:lang w:val="en-US" w:eastAsia="zh-CN"/>
        </w:rPr>
        <w:t>16</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日在权益云交易平台举行的网络竞价</w:t>
      </w:r>
      <w:r>
        <w:rPr>
          <w:rFonts w:hint="eastAsia"/>
          <w:sz w:val="24"/>
          <w:szCs w:val="24"/>
          <w:u w:val="none"/>
          <w:lang w:val="en-US" w:eastAsia="zh-CN"/>
        </w:rPr>
        <w:t>龙岩市龙行汽车服务有限公司</w:t>
      </w:r>
      <w:r>
        <w:rPr>
          <w:rFonts w:hint="eastAsia" w:ascii="宋体" w:hAnsi="宋体" w:eastAsia="宋体" w:cs="宋体"/>
          <w:sz w:val="24"/>
          <w:szCs w:val="24"/>
        </w:rPr>
        <w:t>35%</w:t>
      </w:r>
      <w:r>
        <w:rPr>
          <w:rFonts w:hint="eastAsia"/>
          <w:sz w:val="24"/>
          <w:szCs w:val="24"/>
          <w:u w:val="none"/>
          <w:lang w:val="en-US" w:eastAsia="zh-CN"/>
        </w:rPr>
        <w:t>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w:t>
      </w:r>
      <w:r>
        <w:rPr>
          <w:rFonts w:hint="eastAsia" w:ascii="宋体" w:hAnsi="宋体" w:cs="宋体"/>
          <w:kern w:val="0"/>
          <w:sz w:val="28"/>
          <w:szCs w:val="28"/>
          <w:lang w:eastAsia="zh-CN"/>
        </w:rPr>
        <w:t>以权益云交易平台指定的账号为准</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8"/>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5</w:t>
      </w:r>
      <w:r>
        <w:rPr>
          <w:rFonts w:hint="eastAsia" w:ascii="宋体" w:hAnsi="宋体"/>
          <w:sz w:val="30"/>
          <w:szCs w:val="30"/>
        </w:rPr>
        <w:t>月</w:t>
      </w:r>
      <w:r>
        <w:rPr>
          <w:rFonts w:hint="eastAsia" w:ascii="宋体" w:hAnsi="宋体"/>
          <w:sz w:val="30"/>
          <w:szCs w:val="30"/>
          <w:u w:val="single"/>
          <w:lang w:val="en-US" w:eastAsia="zh-CN"/>
        </w:rPr>
        <w:t xml:space="preserve"> 6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rPr>
        <w:t>ZR202</w:t>
      </w:r>
      <w:r>
        <w:rPr>
          <w:rFonts w:hint="eastAsia" w:ascii="宋体" w:hAnsi="宋体"/>
          <w:bCs/>
          <w:spacing w:val="-20"/>
          <w:sz w:val="30"/>
          <w:szCs w:val="30"/>
          <w:lang w:val="en-US" w:eastAsia="zh-CN"/>
        </w:rPr>
        <w:t>2</w:t>
      </w:r>
      <w:r>
        <w:rPr>
          <w:rFonts w:hint="eastAsia" w:ascii="宋体" w:hAnsi="宋体"/>
          <w:bCs/>
          <w:spacing w:val="-20"/>
          <w:sz w:val="30"/>
          <w:szCs w:val="30"/>
        </w:rPr>
        <w:t>-</w:t>
      </w:r>
      <w:r>
        <w:rPr>
          <w:rFonts w:hint="eastAsia" w:ascii="宋体" w:hAnsi="宋体"/>
          <w:bCs/>
          <w:spacing w:val="-20"/>
          <w:sz w:val="30"/>
          <w:szCs w:val="30"/>
          <w:lang w:val="en-US" w:eastAsia="zh-CN"/>
        </w:rPr>
        <w:t>16</w:t>
      </w:r>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sz w:val="30"/>
          <w:szCs w:val="30"/>
          <w:u w:val="single"/>
          <w:lang w:val="en-US" w:eastAsia="zh-CN"/>
        </w:rPr>
        <w:t>龙岩市龙行汽车服务有限公司</w:t>
      </w:r>
      <w:r>
        <w:rPr>
          <w:rFonts w:hint="eastAsia" w:ascii="宋体" w:hAnsi="宋体" w:eastAsia="宋体" w:cs="宋体"/>
          <w:sz w:val="30"/>
          <w:szCs w:val="30"/>
          <w:u w:val="single"/>
        </w:rPr>
        <w:t>35%</w:t>
      </w:r>
      <w:r>
        <w:rPr>
          <w:rFonts w:hint="eastAsia"/>
          <w:sz w:val="30"/>
          <w:szCs w:val="30"/>
          <w:u w:val="single"/>
          <w:lang w:val="en-US" w:eastAsia="zh-CN"/>
        </w:rPr>
        <w:t>股权</w:t>
      </w:r>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C0907C"/>
    <w:multiLevelType w:val="singleLevel"/>
    <w:tmpl w:val="E6C0907C"/>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6CE2D6F"/>
    <w:rsid w:val="0D7B6333"/>
    <w:rsid w:val="11E51403"/>
    <w:rsid w:val="1537529F"/>
    <w:rsid w:val="16296562"/>
    <w:rsid w:val="1AA027F9"/>
    <w:rsid w:val="1E9B4986"/>
    <w:rsid w:val="1EE16D44"/>
    <w:rsid w:val="20794CCF"/>
    <w:rsid w:val="208A4138"/>
    <w:rsid w:val="20A92B8C"/>
    <w:rsid w:val="26A61F12"/>
    <w:rsid w:val="27D57129"/>
    <w:rsid w:val="27DE1A21"/>
    <w:rsid w:val="281D72BE"/>
    <w:rsid w:val="2DA33E7F"/>
    <w:rsid w:val="33462206"/>
    <w:rsid w:val="3C946FA0"/>
    <w:rsid w:val="3FED7601"/>
    <w:rsid w:val="401433F0"/>
    <w:rsid w:val="402B745C"/>
    <w:rsid w:val="41141EF5"/>
    <w:rsid w:val="43416E19"/>
    <w:rsid w:val="47FA4052"/>
    <w:rsid w:val="4AF96BDA"/>
    <w:rsid w:val="4C1F06B7"/>
    <w:rsid w:val="4D283E1B"/>
    <w:rsid w:val="4DE8390E"/>
    <w:rsid w:val="53461290"/>
    <w:rsid w:val="595E7496"/>
    <w:rsid w:val="5A094846"/>
    <w:rsid w:val="5C33722C"/>
    <w:rsid w:val="5E5F0BBA"/>
    <w:rsid w:val="60395EE3"/>
    <w:rsid w:val="627B4811"/>
    <w:rsid w:val="63B76C4A"/>
    <w:rsid w:val="680F1120"/>
    <w:rsid w:val="6CD31C15"/>
    <w:rsid w:val="6F8D0C54"/>
    <w:rsid w:val="6FB15510"/>
    <w:rsid w:val="73C81064"/>
    <w:rsid w:val="768A643C"/>
    <w:rsid w:val="7E1D072E"/>
    <w:rsid w:val="7E2E4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2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6"/>
    <w:qFormat/>
    <w:uiPriority w:val="0"/>
    <w:pPr>
      <w:spacing w:line="560" w:lineRule="exact"/>
      <w:ind w:firstLine="640" w:firstLineChars="200"/>
    </w:pPr>
    <w:rPr>
      <w:sz w:val="32"/>
    </w:rPr>
  </w:style>
  <w:style w:type="paragraph" w:styleId="4">
    <w:name w:val="Body Text Indent 2"/>
    <w:basedOn w:val="1"/>
    <w:link w:val="17"/>
    <w:qFormat/>
    <w:uiPriority w:val="0"/>
    <w:pPr>
      <w:ind w:left="420" w:leftChars="200" w:firstLine="560" w:firstLineChars="200"/>
    </w:pPr>
    <w:rPr>
      <w:rFonts w:ascii="宋体" w:hAnsi="宋体"/>
      <w:sz w:val="28"/>
    </w:rPr>
  </w:style>
  <w:style w:type="paragraph" w:styleId="5">
    <w:name w:val="footer"/>
    <w:basedOn w:val="1"/>
    <w:link w:val="20"/>
    <w:semiHidden/>
    <w:unhideWhenUsed/>
    <w:qFormat/>
    <w:uiPriority w:val="99"/>
    <w:pPr>
      <w:tabs>
        <w:tab w:val="center" w:pos="4153"/>
        <w:tab w:val="right" w:pos="8306"/>
      </w:tabs>
      <w:snapToGrid w:val="0"/>
      <w:jc w:val="left"/>
    </w:pPr>
    <w:rPr>
      <w:sz w:val="18"/>
      <w:szCs w:val="18"/>
    </w:rPr>
  </w:style>
  <w:style w:type="paragraph" w:styleId="6">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420" w:lineRule="exact"/>
      <w:ind w:firstLine="480" w:firstLineChars="200"/>
      <w:jc w:val="left"/>
    </w:pPr>
    <w:rPr>
      <w:rFonts w:ascii="Calibri" w:hAnsi="Calibri"/>
      <w:kern w:val="0"/>
      <w:sz w:val="24"/>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HTML Typewriter"/>
    <w:basedOn w:val="10"/>
    <w:qFormat/>
    <w:uiPriority w:val="0"/>
    <w:rPr>
      <w:rFonts w:ascii="黑体" w:hAnsi="Courier New" w:eastAsia="黑体" w:cs="彩虹粗仿宋"/>
      <w:spacing w:val="312"/>
      <w:sz w:val="18"/>
      <w:szCs w:val="18"/>
    </w:rPr>
  </w:style>
  <w:style w:type="character" w:styleId="13">
    <w:name w:val="Hyperlink"/>
    <w:basedOn w:val="10"/>
    <w:qFormat/>
    <w:uiPriority w:val="0"/>
    <w:rPr>
      <w:color w:val="0000FF"/>
      <w:u w:val="single"/>
    </w:rPr>
  </w:style>
  <w:style w:type="character" w:styleId="14">
    <w:name w:val="annotation reference"/>
    <w:basedOn w:val="10"/>
    <w:qFormat/>
    <w:uiPriority w:val="0"/>
    <w:rPr>
      <w:sz w:val="21"/>
      <w:szCs w:val="21"/>
    </w:rPr>
  </w:style>
  <w:style w:type="paragraph" w:styleId="15">
    <w:name w:val="List Paragraph"/>
    <w:basedOn w:val="1"/>
    <w:qFormat/>
    <w:uiPriority w:val="34"/>
    <w:pPr>
      <w:spacing w:line="420" w:lineRule="exact"/>
      <w:ind w:firstLine="420" w:firstLineChars="200"/>
    </w:pPr>
    <w:rPr>
      <w:rFonts w:ascii="宋体" w:hAnsi="宋体" w:cstheme="minorBidi"/>
      <w:sz w:val="24"/>
    </w:rPr>
  </w:style>
  <w:style w:type="character" w:customStyle="1" w:styleId="16">
    <w:name w:val="正文文本缩进 Char"/>
    <w:basedOn w:val="10"/>
    <w:link w:val="3"/>
    <w:qFormat/>
    <w:uiPriority w:val="0"/>
    <w:rPr>
      <w:rFonts w:ascii="Times New Roman" w:hAnsi="Times New Roman" w:eastAsia="宋体" w:cs="Times New Roman"/>
      <w:sz w:val="32"/>
      <w:szCs w:val="24"/>
    </w:rPr>
  </w:style>
  <w:style w:type="character" w:customStyle="1" w:styleId="17">
    <w:name w:val="正文文本缩进 2 Char"/>
    <w:basedOn w:val="10"/>
    <w:link w:val="4"/>
    <w:qFormat/>
    <w:uiPriority w:val="0"/>
    <w:rPr>
      <w:rFonts w:ascii="宋体" w:hAnsi="宋体" w:eastAsia="宋体" w:cs="Times New Roman"/>
      <w:sz w:val="28"/>
      <w:szCs w:val="24"/>
    </w:rPr>
  </w:style>
  <w:style w:type="paragraph" w:customStyle="1" w:styleId="18">
    <w:name w:val="p0"/>
    <w:basedOn w:val="1"/>
    <w:qFormat/>
    <w:uiPriority w:val="0"/>
    <w:pPr>
      <w:widowControl/>
    </w:pPr>
    <w:rPr>
      <w:kern w:val="0"/>
      <w:szCs w:val="21"/>
    </w:rPr>
  </w:style>
  <w:style w:type="character" w:customStyle="1" w:styleId="19">
    <w:name w:val="页眉 Char"/>
    <w:basedOn w:val="10"/>
    <w:link w:val="6"/>
    <w:semiHidden/>
    <w:qFormat/>
    <w:uiPriority w:val="99"/>
    <w:rPr>
      <w:rFonts w:ascii="Times New Roman" w:hAnsi="Times New Roman" w:eastAsia="宋体" w:cs="Times New Roman"/>
      <w:sz w:val="18"/>
      <w:szCs w:val="18"/>
    </w:rPr>
  </w:style>
  <w:style w:type="character" w:customStyle="1" w:styleId="20">
    <w:name w:val="页脚 Char"/>
    <w:basedOn w:val="10"/>
    <w:link w:val="5"/>
    <w:semiHidden/>
    <w:qFormat/>
    <w:uiPriority w:val="99"/>
    <w:rPr>
      <w:rFonts w:ascii="Times New Roman" w:hAnsi="Times New Roman" w:eastAsia="宋体" w:cs="Times New Roman"/>
      <w:sz w:val="18"/>
      <w:szCs w:val="18"/>
    </w:rPr>
  </w:style>
  <w:style w:type="character" w:customStyle="1" w:styleId="21">
    <w:name w:val="标题 3 Char"/>
    <w:basedOn w:val="10"/>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131"/>
    <customShpInfo spid="_x0000_s1132"/>
    <customShpInfo spid="_x0000_s1133"/>
    <customShpInfo spid="_x0000_s1134"/>
    <customShpInfo spid="_x0000_s11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4</TotalTime>
  <ScaleCrop>false</ScaleCrop>
  <LinksUpToDate>false</LinksUpToDate>
  <CharactersWithSpaces>8684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dell-01</cp:lastModifiedBy>
  <dcterms:modified xsi:type="dcterms:W3CDTF">2022-03-31T06:59:27Z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