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snapToGrid w:val="false"/>
        <w:spacing w:before="0" w:beforeAutospacing="false" w:after="200" w:afterAutospacing="false" w:lineRule="exact" w:line="460"/>
        <w:jc w:val="center"/>
        <w:textAlignment w:val="baseline"/>
        <w:rPr>
          <w:rStyle w:val="style4102"/>
          <w:rFonts w:ascii="黑体" w:cs="黑体" w:eastAsia="黑体" w:hAnsi="黑体"/>
          <w:b/>
          <w:bCs/>
          <w:i w:val="false"/>
          <w:caps w:val="false"/>
          <w:color w:val="000000"/>
          <w:spacing w:val="0"/>
          <w:w w:val="100"/>
          <w:sz w:val="44"/>
          <w:szCs w:val="44"/>
          <w:lang w:val="en-US" w:bidi="ar-SA" w:eastAsia="zh-CN"/>
        </w:rPr>
      </w:pPr>
      <w:r>
        <w:rPr>
          <w:rStyle w:val="style4102"/>
          <w:rFonts w:ascii="黑体" w:cs="黑体" w:eastAsia="黑体" w:hAnsi="黑体"/>
          <w:b/>
          <w:bCs/>
          <w:i w:val="false"/>
          <w:caps w:val="false"/>
          <w:spacing w:val="0"/>
          <w:w w:val="100"/>
          <w:sz w:val="44"/>
          <w:szCs w:val="44"/>
          <w:lang w:val="en-US" w:bidi="ar-SA" w:eastAsia="zh-CN"/>
        </w:rPr>
        <w:t>砂包土销售</w:t>
      </w:r>
      <w:r>
        <w:rPr>
          <w:rStyle w:val="style4102"/>
          <w:rFonts w:ascii="黑体" w:cs="黑体" w:eastAsia="黑体" w:hAnsi="黑体"/>
          <w:b/>
          <w:bCs/>
          <w:i w:val="false"/>
          <w:caps w:val="false"/>
          <w:color w:val="000000"/>
          <w:spacing w:val="0"/>
          <w:w w:val="100"/>
          <w:sz w:val="44"/>
          <w:szCs w:val="44"/>
          <w:lang w:val="en-US" w:bidi="ar-SA" w:eastAsia="zh-CN"/>
        </w:rPr>
        <w:t>合同</w:t>
      </w:r>
    </w:p>
    <w:p>
      <w:pPr>
        <w:pStyle w:val="style0"/>
        <w:widowControl/>
        <w:snapToGrid w:val="false"/>
        <w:spacing w:before="0" w:beforeAutospacing="false" w:after="200" w:afterAutospacing="false" w:lineRule="exact" w:line="460"/>
        <w:jc w:val="center"/>
        <w:textAlignment w:val="baseline"/>
        <w:rPr>
          <w:rStyle w:val="style4102"/>
          <w:rFonts w:ascii="黑体" w:cs="黑体" w:eastAsia="黑体" w:hAnsi="黑体"/>
          <w:b/>
          <w:bCs/>
          <w:i w:val="false"/>
          <w:caps w:val="false"/>
          <w:color w:val="000000"/>
          <w:spacing w:val="0"/>
          <w:w w:val="100"/>
          <w:sz w:val="44"/>
          <w:szCs w:val="44"/>
          <w:lang w:val="en-US" w:bidi="ar-SA" w:eastAsia="zh-CN"/>
        </w:rPr>
      </w:pPr>
    </w:p>
    <w:p>
      <w:pPr>
        <w:pStyle w:val="style0"/>
        <w:widowControl/>
        <w:snapToGrid w:val="false"/>
        <w:spacing w:before="0" w:beforeAutospacing="false" w:after="160" w:afterAutospacing="false" w:lineRule="exact" w:line="460"/>
        <w:jc w:val="both"/>
        <w:textAlignment w:val="baseline"/>
        <w:rPr>
          <w:rStyle w:val="style4102"/>
          <w:rFonts w:ascii="仿宋_GB2312" w:eastAsia="仿宋_GB2312" w:hAnsi="仿宋_GB2312"/>
          <w:b/>
          <w:i w:val="false"/>
          <w:caps w:val="false"/>
          <w:spacing w:val="0"/>
          <w:w w:val="100"/>
          <w:sz w:val="28"/>
          <w:szCs w:val="28"/>
          <w:lang w:val="en-US" w:bidi="ar-SA" w:eastAsia="zh-CN"/>
        </w:rPr>
      </w:pPr>
      <w:r>
        <w:rPr>
          <w:rStyle w:val="style4102"/>
          <w:rFonts w:ascii="仿宋_GB2312" w:eastAsia="仿宋_GB2312" w:hAnsi="仿宋_GB2312"/>
          <w:b/>
          <w:i w:val="false"/>
          <w:caps w:val="false"/>
          <w:spacing w:val="0"/>
          <w:w w:val="100"/>
          <w:sz w:val="28"/>
          <w:szCs w:val="28"/>
          <w:lang w:val="en-US" w:bidi="ar-SA" w:eastAsia="zh-CN"/>
        </w:rPr>
        <w:t>卖方：龙岩市永定区自然资源局    （以下简称“甲方”）</w:t>
      </w:r>
    </w:p>
    <w:p>
      <w:pPr>
        <w:pStyle w:val="style0"/>
        <w:widowControl/>
        <w:snapToGrid w:val="false"/>
        <w:spacing w:before="0" w:beforeAutospacing="false" w:after="160" w:afterAutospacing="false" w:lineRule="exact" w:line="460"/>
        <w:jc w:val="both"/>
        <w:textAlignment w:val="baseline"/>
        <w:rPr>
          <w:rStyle w:val="style4102"/>
          <w:rFonts w:ascii="仿宋_GB2312" w:eastAsia="仿宋_GB2312" w:hAnsi="仿宋_GB2312"/>
          <w:b/>
          <w:i w:val="false"/>
          <w:caps w:val="false"/>
          <w:spacing w:val="0"/>
          <w:w w:val="100"/>
          <w:sz w:val="28"/>
          <w:szCs w:val="28"/>
          <w:lang w:val="en-US" w:bidi="ar-SA" w:eastAsia="zh-CN"/>
        </w:rPr>
      </w:pPr>
      <w:r>
        <w:rPr>
          <w:rStyle w:val="style4102"/>
          <w:rFonts w:ascii="仿宋_GB2312" w:eastAsia="仿宋_GB2312" w:hAnsi="仿宋_GB2312"/>
          <w:b/>
          <w:i w:val="false"/>
          <w:caps w:val="false"/>
          <w:spacing w:val="0"/>
          <w:w w:val="100"/>
          <w:sz w:val="28"/>
          <w:szCs w:val="28"/>
          <w:lang w:val="en-US" w:bidi="ar-SA" w:eastAsia="zh-CN"/>
        </w:rPr>
        <w:t>买方：   （以下简称“乙方”）</w:t>
      </w:r>
    </w:p>
    <w:p>
      <w:pPr>
        <w:pStyle w:val="style0"/>
        <w:widowControl/>
        <w:snapToGrid w:val="false"/>
        <w:spacing w:before="0" w:beforeAutospacing="false" w:after="200" w:afterAutospacing="false" w:lineRule="exact" w:line="400"/>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hint="eastAsia"/>
          <w:b w:val="false"/>
          <w:i w:val="false"/>
          <w:caps w:val="false"/>
          <w:spacing w:val="0"/>
          <w:w w:val="100"/>
          <w:sz w:val="28"/>
          <w:szCs w:val="28"/>
          <w:lang w:val="en-US" w:bidi="ar-SA" w:eastAsia="zh-CN"/>
        </w:rPr>
        <w:t xml:space="preserve">    </w:t>
      </w:r>
      <w:bookmarkStart w:id="0" w:name="_GoBack"/>
      <w:bookmarkEnd w:id="0"/>
      <w:r>
        <w:rPr>
          <w:rStyle w:val="style4102"/>
          <w:rFonts w:ascii="仿宋_GB2312" w:eastAsia="仿宋_GB2312" w:hAnsi="仿宋_GB2312"/>
          <w:b w:val="false"/>
          <w:i w:val="false"/>
          <w:caps w:val="false"/>
          <w:spacing w:val="0"/>
          <w:w w:val="100"/>
          <w:sz w:val="28"/>
          <w:szCs w:val="28"/>
          <w:lang w:val="en-US" w:bidi="ar-SA" w:eastAsia="zh-CN"/>
        </w:rPr>
        <w:t>甲方将持有的</w:t>
      </w:r>
      <w:r>
        <w:rPr>
          <w:rStyle w:val="style4102"/>
          <w:rFonts w:ascii="仿宋_GB2312" w:eastAsia="仿宋_GB2312" w:hAnsi="宋体"/>
          <w:b w:val="false"/>
          <w:i w:val="false"/>
          <w:caps w:val="false"/>
          <w:spacing w:val="0"/>
          <w:w w:val="100"/>
          <w:sz w:val="28"/>
          <w:szCs w:val="28"/>
          <w:lang w:val="en-US" w:bidi="ar-SA" w:eastAsia="zh-CN"/>
        </w:rPr>
        <w:t xml:space="preserve">龙岩市永定区      </w:t>
      </w:r>
      <w:r>
        <w:rPr>
          <w:rStyle w:val="style4102"/>
          <w:rFonts w:ascii="仿宋_GB2312" w:eastAsia="仿宋_GB2312" w:hAnsi="仿宋_GB2312"/>
          <w:b w:val="false"/>
          <w:i w:val="false"/>
          <w:caps w:val="false"/>
          <w:spacing w:val="0"/>
          <w:w w:val="100"/>
          <w:sz w:val="28"/>
          <w:szCs w:val="28"/>
          <w:lang w:val="en-US" w:bidi="ar-SA" w:eastAsia="zh-CN"/>
        </w:rPr>
        <w:t>立方米砂包土委托龙岩市产权交易中心有限公司（以下简称“产权交易中心”）对外公开竞价转让。乙方于</w:t>
      </w:r>
      <w:r>
        <w:rPr>
          <w:rStyle w:val="style4102"/>
          <w:rFonts w:ascii="仿宋_GB2312" w:eastAsia="仿宋_GB2312" w:hAnsi="仿宋_GB2312"/>
          <w:b w:val="false"/>
          <w:i w:val="false"/>
          <w:caps w:val="false"/>
          <w:spacing w:val="0"/>
          <w:w w:val="100"/>
          <w:sz w:val="28"/>
          <w:szCs w:val="28"/>
          <w:u w:val="single" w:color="000000"/>
          <w:lang w:val="en-US" w:bidi="ar-SA" w:eastAsia="zh-CN"/>
        </w:rPr>
        <w:t xml:space="preserve">     </w:t>
      </w:r>
      <w:r>
        <w:rPr>
          <w:rStyle w:val="style4102"/>
          <w:rFonts w:ascii="仿宋_GB2312" w:eastAsia="仿宋_GB2312" w:hAnsi="仿宋_GB2312"/>
          <w:b w:val="false"/>
          <w:i w:val="false"/>
          <w:caps w:val="false"/>
          <w:spacing w:val="0"/>
          <w:w w:val="100"/>
          <w:sz w:val="28"/>
          <w:szCs w:val="28"/>
          <w:lang w:val="en-US" w:bidi="ar-SA" w:eastAsia="zh-CN"/>
        </w:rPr>
        <w:t>年</w:t>
      </w:r>
      <w:r>
        <w:rPr>
          <w:rStyle w:val="style4102"/>
          <w:rFonts w:ascii="仿宋_GB2312" w:eastAsia="仿宋_GB2312" w:hAnsi="仿宋_GB2312"/>
          <w:b w:val="false"/>
          <w:i w:val="false"/>
          <w:caps w:val="false"/>
          <w:spacing w:val="0"/>
          <w:w w:val="100"/>
          <w:sz w:val="28"/>
          <w:szCs w:val="28"/>
          <w:u w:val="single" w:color="000000"/>
          <w:lang w:val="en-US" w:bidi="ar-SA" w:eastAsia="zh-CN"/>
        </w:rPr>
        <w:t xml:space="preserve">   </w:t>
      </w:r>
      <w:r>
        <w:rPr>
          <w:rStyle w:val="style4102"/>
          <w:rFonts w:ascii="仿宋_GB2312" w:eastAsia="仿宋_GB2312" w:hAnsi="仿宋_GB2312"/>
          <w:b w:val="false"/>
          <w:i w:val="false"/>
          <w:caps w:val="false"/>
          <w:spacing w:val="0"/>
          <w:w w:val="100"/>
          <w:sz w:val="28"/>
          <w:szCs w:val="28"/>
          <w:lang w:val="en-US" w:bidi="ar-SA" w:eastAsia="zh-CN"/>
        </w:rPr>
        <w:t>月</w:t>
      </w:r>
      <w:r>
        <w:rPr>
          <w:rStyle w:val="style4102"/>
          <w:rFonts w:ascii="仿宋_GB2312" w:eastAsia="仿宋_GB2312" w:hAnsi="仿宋_GB2312"/>
          <w:b w:val="false"/>
          <w:i w:val="false"/>
          <w:caps w:val="false"/>
          <w:spacing w:val="0"/>
          <w:w w:val="100"/>
          <w:sz w:val="28"/>
          <w:szCs w:val="28"/>
          <w:u w:val="single" w:color="000000"/>
          <w:lang w:val="en-US" w:bidi="ar-SA" w:eastAsia="zh-CN"/>
        </w:rPr>
        <w:t xml:space="preserve">   </w:t>
      </w:r>
      <w:r>
        <w:rPr>
          <w:rStyle w:val="style4102"/>
          <w:rFonts w:ascii="仿宋_GB2312" w:eastAsia="仿宋_GB2312" w:hAnsi="仿宋_GB2312"/>
          <w:b w:val="false"/>
          <w:i w:val="false"/>
          <w:caps w:val="false"/>
          <w:spacing w:val="0"/>
          <w:w w:val="100"/>
          <w:sz w:val="28"/>
          <w:szCs w:val="28"/>
          <w:lang w:val="en-US" w:bidi="ar-SA" w:eastAsia="zh-CN"/>
        </w:rPr>
        <w:t>日以网络竞价的形式从产权交易中心成功竞得上述标的物。根据《中华人民共和国合同法》及相关规定，本着诚实信用、平等互利的原则，经甲、乙双方友好协商，就上述标的销</w:t>
      </w:r>
      <w:r>
        <w:rPr>
          <w:rStyle w:val="style4102"/>
          <w:rFonts w:ascii="仿宋_GB2312" w:eastAsia="仿宋_GB2312" w:hAnsi="仿宋_GB2312"/>
          <w:b w:val="false"/>
          <w:i w:val="false"/>
          <w:caps w:val="false"/>
          <w:color w:val="000000"/>
          <w:spacing w:val="0"/>
          <w:w w:val="100"/>
          <w:sz w:val="28"/>
          <w:szCs w:val="28"/>
          <w:lang w:val="en-US" w:bidi="ar-SA" w:eastAsia="zh-CN"/>
        </w:rPr>
        <w:t>售</w:t>
      </w:r>
      <w:r>
        <w:rPr>
          <w:rStyle w:val="style4102"/>
          <w:rFonts w:ascii="仿宋_GB2312" w:eastAsia="仿宋_GB2312" w:hAnsi="仿宋_GB2312"/>
          <w:b w:val="false"/>
          <w:i w:val="false"/>
          <w:caps w:val="false"/>
          <w:spacing w:val="0"/>
          <w:w w:val="100"/>
          <w:sz w:val="28"/>
          <w:szCs w:val="28"/>
          <w:lang w:val="en-US" w:bidi="ar-SA" w:eastAsia="zh-CN"/>
        </w:rPr>
        <w:t>事宜签订本合同，供甲、乙双方共同遵守。</w:t>
      </w:r>
    </w:p>
    <w:p>
      <w:pPr>
        <w:pStyle w:val="style0"/>
        <w:widowControl/>
        <w:snapToGrid w:val="false"/>
        <w:spacing w:before="0" w:beforeAutospacing="false" w:after="160" w:afterAutospacing="false" w:lineRule="exact" w:line="480"/>
        <w:ind w:firstLine="562" w:firstLineChars="200"/>
        <w:jc w:val="both"/>
        <w:textAlignment w:val="baseline"/>
        <w:rPr>
          <w:rStyle w:val="style4102"/>
          <w:rFonts w:ascii="仿宋_GB2312" w:cs="仿宋_GB2312" w:eastAsia="仿宋_GB2312" w:hAnsi="仿宋_GB2312"/>
          <w:b/>
          <w:bCs/>
          <w:i w:val="false"/>
          <w:caps w:val="false"/>
          <w:spacing w:val="0"/>
          <w:w w:val="100"/>
          <w:sz w:val="28"/>
          <w:szCs w:val="28"/>
          <w:lang w:val="en-US" w:bidi="ar-SA" w:eastAsia="zh-CN"/>
        </w:rPr>
      </w:pPr>
      <w:r>
        <w:rPr>
          <w:rStyle w:val="style4102"/>
          <w:rFonts w:ascii="仿宋_GB2312" w:cs="仿宋_GB2312" w:eastAsia="仿宋_GB2312" w:hAnsi="仿宋_GB2312"/>
          <w:b/>
          <w:bCs/>
          <w:i w:val="false"/>
          <w:caps w:val="false"/>
          <w:spacing w:val="0"/>
          <w:w w:val="100"/>
          <w:sz w:val="28"/>
          <w:szCs w:val="28"/>
          <w:lang w:val="en-US" w:bidi="ar-SA" w:eastAsia="zh-CN"/>
        </w:rPr>
        <w:t>第一条  销售数量及销售货款</w:t>
      </w:r>
    </w:p>
    <w:p>
      <w:pPr>
        <w:pStyle w:val="style0"/>
        <w:widowControl/>
        <w:snapToGrid w:val="false"/>
        <w:spacing w:before="0" w:beforeAutospacing="false" w:after="160" w:afterAutospacing="false" w:lineRule="exact" w:line="480"/>
        <w:ind w:firstLine="560" w:firstLineChars="200"/>
        <w:jc w:val="both"/>
        <w:textAlignment w:val="baseline"/>
        <w:rPr>
          <w:rStyle w:val="style4102"/>
          <w:rFonts w:ascii="仿宋_GB2312" w:eastAsia="仿宋_GB2312" w:hAnsi="仿宋_GB2312"/>
          <w:b w:val="false"/>
          <w:i w:val="false"/>
          <w:caps w:val="false"/>
          <w:color w:val="000000"/>
          <w:spacing w:val="0"/>
          <w:w w:val="100"/>
          <w:sz w:val="28"/>
          <w:szCs w:val="28"/>
          <w:lang w:val="en-US" w:bidi="ar-SA" w:eastAsia="zh-CN"/>
        </w:rPr>
      </w:pPr>
      <w:r>
        <w:rPr>
          <w:rStyle w:val="style4102"/>
          <w:rFonts w:ascii="仿宋_GB2312" w:eastAsia="仿宋_GB2312" w:hAnsi="仿宋_GB2312"/>
          <w:b w:val="false"/>
          <w:i w:val="false"/>
          <w:caps w:val="false"/>
          <w:color w:val="000000"/>
          <w:spacing w:val="0"/>
          <w:w w:val="100"/>
          <w:sz w:val="28"/>
          <w:szCs w:val="28"/>
          <w:lang w:val="en-US" w:bidi="ar-SA" w:eastAsia="zh-CN"/>
        </w:rPr>
        <w:t>销售数量按乙方于</w:t>
      </w:r>
      <w:r>
        <w:rPr>
          <w:rStyle w:val="style4102"/>
          <w:rFonts w:ascii="仿宋_GB2312" w:eastAsia="仿宋_GB2312" w:hAnsi="仿宋_GB2312"/>
          <w:b w:val="false"/>
          <w:i w:val="false"/>
          <w:caps w:val="false"/>
          <w:color w:val="000000"/>
          <w:spacing w:val="0"/>
          <w:w w:val="100"/>
          <w:sz w:val="28"/>
          <w:szCs w:val="28"/>
          <w:u w:val="single" w:color="000000"/>
          <w:lang w:val="en-US" w:bidi="ar-SA" w:eastAsia="zh-CN"/>
        </w:rPr>
        <w:t xml:space="preserve">      </w:t>
      </w:r>
      <w:r>
        <w:rPr>
          <w:rStyle w:val="style4102"/>
          <w:rFonts w:ascii="仿宋_GB2312" w:eastAsia="仿宋_GB2312" w:hAnsi="仿宋_GB2312"/>
          <w:b w:val="false"/>
          <w:i w:val="false"/>
          <w:caps w:val="false"/>
          <w:color w:val="000000"/>
          <w:spacing w:val="0"/>
          <w:w w:val="100"/>
          <w:sz w:val="28"/>
          <w:szCs w:val="28"/>
          <w:lang w:val="en-US" w:bidi="ar-SA" w:eastAsia="zh-CN"/>
        </w:rPr>
        <w:t>年</w:t>
      </w:r>
      <w:r>
        <w:rPr>
          <w:rStyle w:val="style4102"/>
          <w:rFonts w:ascii="仿宋_GB2312" w:eastAsia="仿宋_GB2312" w:hAnsi="仿宋_GB2312"/>
          <w:b w:val="false"/>
          <w:i w:val="false"/>
          <w:caps w:val="false"/>
          <w:color w:val="000000"/>
          <w:spacing w:val="0"/>
          <w:w w:val="100"/>
          <w:sz w:val="28"/>
          <w:szCs w:val="28"/>
          <w:u w:val="single" w:color="000000"/>
          <w:lang w:val="en-US" w:bidi="ar-SA" w:eastAsia="zh-CN"/>
        </w:rPr>
        <w:t xml:space="preserve">   </w:t>
      </w:r>
      <w:r>
        <w:rPr>
          <w:rStyle w:val="style4102"/>
          <w:rFonts w:ascii="仿宋_GB2312" w:eastAsia="仿宋_GB2312" w:hAnsi="仿宋_GB2312"/>
          <w:b w:val="false"/>
          <w:i w:val="false"/>
          <w:caps w:val="false"/>
          <w:color w:val="000000"/>
          <w:spacing w:val="0"/>
          <w:w w:val="100"/>
          <w:sz w:val="28"/>
          <w:szCs w:val="28"/>
          <w:lang w:val="en-US" w:bidi="ar-SA" w:eastAsia="zh-CN"/>
        </w:rPr>
        <w:t xml:space="preserve">月  日以网络竞价的形式从产权交易中心成功竞得该笔拍卖标的物确认的中标数量为     </w:t>
      </w:r>
      <w:r>
        <w:rPr>
          <w:rStyle w:val="style4102"/>
          <w:rFonts w:ascii="仿宋_GB2312" w:eastAsia="仿宋_GB2312" w:hAnsi="仿宋_GB2312"/>
          <w:b w:val="false"/>
          <w:i w:val="false"/>
          <w:caps w:val="false"/>
          <w:spacing w:val="0"/>
          <w:w w:val="100"/>
          <w:sz w:val="28"/>
          <w:szCs w:val="28"/>
          <w:lang w:val="en-US" w:bidi="ar-SA" w:eastAsia="zh-CN"/>
        </w:rPr>
        <w:t>立方米</w:t>
      </w:r>
      <w:r>
        <w:rPr>
          <w:rStyle w:val="style4102"/>
          <w:rFonts w:ascii="仿宋_GB2312" w:eastAsia="仿宋_GB2312" w:hAnsi="仿宋_GB2312"/>
          <w:b w:val="false"/>
          <w:i w:val="false"/>
          <w:caps w:val="false"/>
          <w:color w:val="000000"/>
          <w:spacing w:val="0"/>
          <w:w w:val="100"/>
          <w:sz w:val="28"/>
          <w:szCs w:val="28"/>
          <w:lang w:val="en-US" w:bidi="ar-SA" w:eastAsia="zh-CN"/>
        </w:rPr>
        <w:t>；销售货款为人民币（</w:t>
      </w:r>
      <w:r>
        <w:rPr>
          <w:rStyle w:val="style4102"/>
          <w:rFonts w:ascii="Arial" w:eastAsia="仿宋_GB2312" w:hAnsi="Arial"/>
          <w:b w:val="false"/>
          <w:i w:val="false"/>
          <w:caps w:val="false"/>
          <w:color w:val="000000"/>
          <w:spacing w:val="0"/>
          <w:w w:val="100"/>
          <w:sz w:val="28"/>
          <w:szCs w:val="28"/>
          <w:lang w:val="en-US" w:bidi="ar-SA" w:eastAsia="zh-CN"/>
        </w:rPr>
        <w:t>¥：</w:t>
      </w:r>
      <w:r>
        <w:rPr>
          <w:rStyle w:val="style4102"/>
          <w:rFonts w:ascii="仿宋_GB2312" w:eastAsia="仿宋_GB2312" w:hAnsi="仿宋_GB2312"/>
          <w:b w:val="false"/>
          <w:i w:val="false"/>
          <w:caps w:val="false"/>
          <w:color w:val="000000"/>
          <w:spacing w:val="0"/>
          <w:w w:val="100"/>
          <w:sz w:val="28"/>
          <w:szCs w:val="28"/>
          <w:lang w:val="en-US" w:bidi="ar-SA" w:eastAsia="zh-CN"/>
        </w:rPr>
        <w:t xml:space="preserve">          元）。</w:t>
      </w:r>
    </w:p>
    <w:p>
      <w:pPr>
        <w:pStyle w:val="style0"/>
        <w:widowControl/>
        <w:snapToGrid w:val="false"/>
        <w:spacing w:before="0" w:beforeAutospacing="false" w:after="160" w:afterAutospacing="false" w:lineRule="exact" w:line="480"/>
        <w:ind w:firstLine="562" w:firstLineChars="200"/>
        <w:jc w:val="both"/>
        <w:textAlignment w:val="baseline"/>
        <w:rPr>
          <w:rStyle w:val="style4102"/>
          <w:rFonts w:ascii="仿宋_GB2312" w:cs="仿宋_GB2312" w:eastAsia="仿宋_GB2312" w:hAnsi="仿宋_GB2312"/>
          <w:b/>
          <w:bCs/>
          <w:i w:val="false"/>
          <w:caps w:val="false"/>
          <w:color w:val="000000"/>
          <w:spacing w:val="0"/>
          <w:w w:val="100"/>
          <w:sz w:val="28"/>
          <w:szCs w:val="28"/>
          <w:lang w:val="en-US" w:bidi="ar-SA" w:eastAsia="zh-CN"/>
        </w:rPr>
      </w:pPr>
      <w:r>
        <w:rPr>
          <w:rStyle w:val="style4102"/>
          <w:rFonts w:ascii="仿宋_GB2312" w:cs="仿宋_GB2312" w:eastAsia="仿宋_GB2312" w:hAnsi="仿宋_GB2312"/>
          <w:b/>
          <w:bCs/>
          <w:i w:val="false"/>
          <w:caps w:val="false"/>
          <w:color w:val="000000"/>
          <w:spacing w:val="0"/>
          <w:w w:val="100"/>
          <w:sz w:val="28"/>
          <w:szCs w:val="28"/>
          <w:lang w:val="en-US" w:bidi="ar-SA" w:eastAsia="zh-CN"/>
        </w:rPr>
        <w:t>第二条  货款支付</w:t>
      </w:r>
    </w:p>
    <w:p>
      <w:pPr>
        <w:pStyle w:val="style0"/>
        <w:widowControl/>
        <w:snapToGrid w:val="false"/>
        <w:spacing w:before="0" w:beforeAutospacing="false" w:after="160" w:afterAutospacing="false" w:lineRule="exact" w:line="480"/>
        <w:ind w:left="558" w:leftChars="254" w:firstLineChars="0"/>
        <w:jc w:val="both"/>
        <w:textAlignment w:val="baseline"/>
        <w:rPr>
          <w:rStyle w:val="style4102"/>
          <w:rFonts w:ascii="仿宋_GB2312" w:eastAsia="仿宋_GB2312" w:hAnsi="仿宋_GB2312"/>
          <w:b w:val="false"/>
          <w:i w:val="false"/>
          <w:caps w:val="false"/>
          <w:color w:val="000000"/>
          <w:spacing w:val="0"/>
          <w:w w:val="100"/>
          <w:sz w:val="28"/>
          <w:szCs w:val="28"/>
          <w:lang w:val="en-US" w:bidi="ar-SA" w:eastAsia="zh-CN"/>
        </w:rPr>
      </w:pPr>
      <w:r>
        <w:rPr>
          <w:rStyle w:val="style4102"/>
          <w:rFonts w:ascii="仿宋_GB2312" w:eastAsia="仿宋_GB2312" w:hAnsi="仿宋_GB2312"/>
          <w:b w:val="false"/>
          <w:i w:val="false"/>
          <w:caps w:val="false"/>
          <w:color w:val="000000"/>
          <w:spacing w:val="0"/>
          <w:w w:val="100"/>
          <w:sz w:val="28"/>
          <w:szCs w:val="28"/>
          <w:lang w:val="en-US" w:bidi="ar-SA" w:eastAsia="zh-CN"/>
        </w:rPr>
        <w:t>乙方于    年   月   日支付到龙岩市产权交易中心的竞标保证金人民币   万元扣除乙方应支付给产权交易中心的交易服务费等手续费后转为销售货款，剩余销售货款款必须在本合同签订之日起</w:t>
      </w:r>
      <w:r>
        <w:rPr>
          <w:rStyle w:val="style4102"/>
          <w:rFonts w:ascii="仿宋_GB2312" w:eastAsia="仿宋_GB2312" w:hAnsi="仿宋_GB2312" w:hint="eastAsia"/>
          <w:b w:val="false"/>
          <w:i w:val="false"/>
          <w:caps w:val="false"/>
          <w:color w:val="000000"/>
          <w:spacing w:val="0"/>
          <w:w w:val="100"/>
          <w:sz w:val="28"/>
          <w:szCs w:val="28"/>
          <w:lang w:val="en-US" w:bidi="ar-SA" w:eastAsia="zh-CN"/>
        </w:rPr>
        <w:t>5个工作</w:t>
      </w:r>
      <w:r>
        <w:rPr>
          <w:rStyle w:val="style4102"/>
          <w:rFonts w:ascii="仿宋_GB2312" w:eastAsia="仿宋_GB2312" w:hAnsi="仿宋_GB2312"/>
          <w:b w:val="false"/>
          <w:i w:val="false"/>
          <w:caps w:val="false"/>
          <w:color w:val="000000"/>
          <w:spacing w:val="0"/>
          <w:w w:val="100"/>
          <w:sz w:val="28"/>
          <w:szCs w:val="28"/>
          <w:lang w:val="en-US" w:bidi="ar-SA" w:eastAsia="zh-CN"/>
        </w:rPr>
        <w:t>日</w:t>
      </w:r>
      <w:r>
        <w:rPr>
          <w:rStyle w:val="style4102"/>
          <w:rFonts w:ascii="仿宋_GB2312" w:eastAsia="仿宋_GB2312" w:hAnsi="仿宋_GB2312" w:hint="eastAsia"/>
          <w:b w:val="false"/>
          <w:i w:val="false"/>
          <w:caps w:val="false"/>
          <w:color w:val="000000"/>
          <w:spacing w:val="0"/>
          <w:w w:val="100"/>
          <w:sz w:val="28"/>
          <w:szCs w:val="28"/>
          <w:lang w:val="en-US" w:bidi="ar-SA" w:eastAsia="zh-CN"/>
        </w:rPr>
        <w:t>内</w:t>
      </w:r>
      <w:r>
        <w:rPr>
          <w:rStyle w:val="style4102"/>
          <w:rFonts w:ascii="仿宋_GB2312" w:eastAsia="仿宋_GB2312" w:hAnsi="仿宋_GB2312"/>
          <w:b w:val="false"/>
          <w:i w:val="false"/>
          <w:caps w:val="false"/>
          <w:color w:val="000000"/>
          <w:spacing w:val="0"/>
          <w:w w:val="100"/>
          <w:sz w:val="28"/>
          <w:szCs w:val="28"/>
          <w:lang w:val="en-US" w:bidi="ar-SA" w:eastAsia="zh-CN"/>
        </w:rPr>
        <w:t>内一次性付清，所有款项转到甲方指定的收款账户（收款单位：龙岩市永定区自然资源局  ，开户银行： 永定信用联社  ，账号：9090410010010000096055   ），而后龙岩市产权交易中心再将竞标保证金款    万元支付到甲方指定的银行账户。</w:t>
      </w:r>
    </w:p>
    <w:p>
      <w:pPr>
        <w:pStyle w:val="style0"/>
        <w:widowControl/>
        <w:snapToGrid w:val="false"/>
        <w:spacing w:before="0" w:beforeAutospacing="false" w:after="160" w:afterAutospacing="false" w:lineRule="exact" w:line="480"/>
        <w:ind w:firstLine="562" w:firstLineChars="200"/>
        <w:jc w:val="both"/>
        <w:textAlignment w:val="baseline"/>
        <w:rPr>
          <w:rStyle w:val="style4102"/>
          <w:rFonts w:ascii="仿宋_GB2312" w:cs="仿宋_GB2312" w:eastAsia="仿宋_GB2312" w:hAnsi="仿宋_GB2312"/>
          <w:b/>
          <w:bCs/>
          <w:i w:val="false"/>
          <w:caps w:val="false"/>
          <w:spacing w:val="0"/>
          <w:w w:val="100"/>
          <w:sz w:val="28"/>
          <w:szCs w:val="28"/>
          <w:lang w:val="en-US" w:bidi="ar-SA" w:eastAsia="zh-CN"/>
        </w:rPr>
      </w:pPr>
      <w:r>
        <w:rPr>
          <w:rStyle w:val="style4102"/>
          <w:rFonts w:ascii="仿宋_GB2312" w:cs="仿宋_GB2312" w:eastAsia="仿宋_GB2312" w:hAnsi="仿宋_GB2312"/>
          <w:b/>
          <w:bCs/>
          <w:i w:val="false"/>
          <w:caps w:val="false"/>
          <w:spacing w:val="0"/>
          <w:w w:val="100"/>
          <w:sz w:val="28"/>
          <w:szCs w:val="28"/>
          <w:lang w:val="en-US" w:bidi="ar-SA" w:eastAsia="zh-CN"/>
        </w:rPr>
        <w:t>第三条  甲、乙双方的权利与义务</w:t>
      </w:r>
    </w:p>
    <w:p>
      <w:pPr>
        <w:pStyle w:val="style0"/>
        <w:widowControl/>
        <w:snapToGrid w:val="false"/>
        <w:spacing w:before="0" w:beforeAutospacing="false" w:after="160" w:afterAutospacing="false" w:lineRule="exact" w:line="480"/>
        <w:ind w:firstLine="562" w:firstLineChars="200"/>
        <w:jc w:val="both"/>
        <w:textAlignment w:val="baseline"/>
        <w:rPr>
          <w:rStyle w:val="style4102"/>
          <w:rFonts w:ascii="仿宋_GB2312" w:cs="仿宋_GB2312" w:eastAsia="仿宋_GB2312" w:hAnsi="仿宋_GB2312"/>
          <w:b/>
          <w:bCs/>
          <w:i w:val="false"/>
          <w:caps w:val="false"/>
          <w:spacing w:val="0"/>
          <w:w w:val="100"/>
          <w:sz w:val="28"/>
          <w:szCs w:val="28"/>
          <w:lang w:val="en-US" w:bidi="ar-SA" w:eastAsia="zh-CN"/>
        </w:rPr>
      </w:pPr>
      <w:r>
        <w:rPr>
          <w:rStyle w:val="style4102"/>
          <w:rFonts w:ascii="仿宋_GB2312" w:cs="仿宋_GB2312" w:eastAsia="仿宋_GB2312" w:hAnsi="仿宋_GB2312"/>
          <w:b/>
          <w:bCs/>
          <w:i w:val="false"/>
          <w:caps w:val="false"/>
          <w:spacing w:val="0"/>
          <w:w w:val="100"/>
          <w:sz w:val="28"/>
          <w:szCs w:val="28"/>
          <w:lang w:val="en-US" w:bidi="ar-SA" w:eastAsia="zh-CN"/>
        </w:rPr>
        <w:t>（一）甲方的权利与义务</w:t>
      </w:r>
    </w:p>
    <w:p>
      <w:pPr>
        <w:pStyle w:val="style0"/>
        <w:widowControl/>
        <w:snapToGrid w:val="false"/>
        <w:spacing w:before="0" w:beforeAutospacing="false" w:after="160" w:afterAutospacing="false" w:lineRule="exact" w:line="480"/>
        <w:ind w:firstLine="560" w:firstLineChars="20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1.甲方有权要求乙方按本合同第二条约定的条款支付货款；</w:t>
      </w:r>
    </w:p>
    <w:p>
      <w:pPr>
        <w:pStyle w:val="style0"/>
        <w:widowControl/>
        <w:snapToGrid w:val="false"/>
        <w:spacing w:before="0" w:beforeAutospacing="false" w:after="160" w:afterAutospacing="false" w:lineRule="exact" w:line="480"/>
        <w:ind w:firstLine="560" w:firstLineChars="20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2.甲方收到乙方的货款后应及时开具</w:t>
      </w:r>
      <w:r>
        <w:rPr>
          <w:rStyle w:val="style4102"/>
          <w:rFonts w:ascii="仿宋_GB2312" w:eastAsia="仿宋_GB2312" w:hAnsi="仿宋_GB2312" w:hint="eastAsia"/>
          <w:b w:val="false"/>
          <w:i w:val="false"/>
          <w:caps w:val="false"/>
          <w:spacing w:val="0"/>
          <w:w w:val="100"/>
          <w:sz w:val="28"/>
          <w:szCs w:val="28"/>
          <w:lang w:val="en-US" w:bidi="ar-SA" w:eastAsia="zh-CN"/>
        </w:rPr>
        <w:t>非税票据</w:t>
      </w:r>
      <w:r>
        <w:rPr>
          <w:rStyle w:val="style4102"/>
          <w:rFonts w:ascii="仿宋_GB2312" w:eastAsia="仿宋_GB2312" w:hAnsi="仿宋_GB2312"/>
          <w:b w:val="false"/>
          <w:i w:val="false"/>
          <w:caps w:val="false"/>
          <w:spacing w:val="0"/>
          <w:w w:val="100"/>
          <w:sz w:val="28"/>
          <w:szCs w:val="28"/>
          <w:lang w:val="en-US" w:bidi="ar-SA" w:eastAsia="zh-CN"/>
        </w:rPr>
        <w:t>给乙方。</w:t>
      </w:r>
    </w:p>
    <w:p>
      <w:pPr>
        <w:pStyle w:val="style0"/>
        <w:widowControl/>
        <w:snapToGrid w:val="false"/>
        <w:spacing w:before="0" w:beforeAutospacing="false" w:after="160" w:afterAutospacing="false" w:lineRule="exact" w:line="480"/>
        <w:ind w:firstLine="560" w:firstLineChars="200"/>
        <w:jc w:val="both"/>
        <w:textAlignment w:val="baseline"/>
        <w:rPr>
          <w:rStyle w:val="style4102"/>
          <w:rFonts w:ascii="仿宋_GB2312" w:cs="仿宋_GB2312" w:eastAsia="仿宋_GB2312" w:hAnsi="仿宋_GB2312"/>
          <w:b/>
          <w:bCs/>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w:t>
      </w:r>
      <w:r>
        <w:rPr>
          <w:rStyle w:val="style4102"/>
          <w:rFonts w:ascii="仿宋_GB2312" w:cs="仿宋_GB2312" w:eastAsia="仿宋_GB2312" w:hAnsi="仿宋_GB2312"/>
          <w:b/>
          <w:bCs/>
          <w:i w:val="false"/>
          <w:caps w:val="false"/>
          <w:spacing w:val="0"/>
          <w:w w:val="100"/>
          <w:sz w:val="28"/>
          <w:szCs w:val="28"/>
          <w:lang w:val="en-US" w:bidi="ar-SA" w:eastAsia="zh-CN"/>
        </w:rPr>
        <w:t>二）乙方的权利与义务</w:t>
      </w:r>
    </w:p>
    <w:p>
      <w:pPr>
        <w:pStyle w:val="style0"/>
        <w:widowControl/>
        <w:snapToGrid w:val="false"/>
        <w:spacing w:before="0" w:beforeAutospacing="false" w:after="160" w:afterAutospacing="false" w:lineRule="exact" w:line="48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 xml:space="preserve">    1.乙方必须按本合同第二条约定的条款支付货款；</w:t>
      </w:r>
    </w:p>
    <w:p>
      <w:pPr>
        <w:pStyle w:val="style0"/>
        <w:widowControl/>
        <w:snapToGrid w:val="false"/>
        <w:spacing w:before="0" w:beforeAutospacing="false" w:after="160" w:afterAutospacing="false" w:lineRule="exact" w:line="480"/>
        <w:ind w:firstLine="56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2.乙方支付货款后有向甲方索要</w:t>
      </w:r>
      <w:r>
        <w:rPr>
          <w:rStyle w:val="style4102"/>
          <w:rFonts w:ascii="仿宋_GB2312" w:eastAsia="仿宋_GB2312" w:hAnsi="仿宋_GB2312" w:hint="eastAsia"/>
          <w:b w:val="false"/>
          <w:i w:val="false"/>
          <w:caps w:val="false"/>
          <w:spacing w:val="0"/>
          <w:w w:val="100"/>
          <w:sz w:val="28"/>
          <w:szCs w:val="28"/>
          <w:lang w:val="en-US" w:bidi="ar-SA" w:eastAsia="zh-CN"/>
        </w:rPr>
        <w:t>非税票据</w:t>
      </w:r>
      <w:r>
        <w:rPr>
          <w:rStyle w:val="style4102"/>
          <w:rFonts w:ascii="仿宋_GB2312" w:eastAsia="仿宋_GB2312" w:hAnsi="仿宋_GB2312"/>
          <w:b w:val="false"/>
          <w:i w:val="false"/>
          <w:caps w:val="false"/>
          <w:spacing w:val="0"/>
          <w:w w:val="100"/>
          <w:sz w:val="28"/>
          <w:szCs w:val="28"/>
          <w:lang w:val="en-US" w:bidi="ar-SA" w:eastAsia="zh-CN"/>
        </w:rPr>
        <w:t>的权利；</w:t>
      </w:r>
    </w:p>
    <w:p>
      <w:pPr>
        <w:pStyle w:val="style0"/>
        <w:widowControl/>
        <w:snapToGrid w:val="false"/>
        <w:spacing w:before="0" w:beforeAutospacing="false" w:after="160" w:afterAutospacing="false" w:lineRule="exact" w:line="480"/>
        <w:ind w:firstLine="56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3.乙方付清货款后，该标的的所有权即转移给乙方，风险也一并转移给乙方，乙方应做好风险管理；砂包土的储存、运输</w:t>
      </w:r>
      <w:r>
        <w:rPr>
          <w:rStyle w:val="style4102"/>
          <w:rFonts w:ascii="仿宋_GB2312" w:eastAsia="仿宋_GB2312" w:hAnsi="仿宋_GB2312" w:hint="eastAsia"/>
          <w:b w:val="false"/>
          <w:i w:val="false"/>
          <w:caps w:val="false"/>
          <w:spacing w:val="0"/>
          <w:w w:val="100"/>
          <w:sz w:val="28"/>
          <w:szCs w:val="28"/>
          <w:lang w:val="en-US" w:bidi="ar-SA" w:eastAsia="zh-CN"/>
        </w:rPr>
        <w:t>和用林、用地手续</w:t>
      </w:r>
      <w:r>
        <w:rPr>
          <w:rStyle w:val="style4102"/>
          <w:rFonts w:ascii="仿宋_GB2312" w:eastAsia="仿宋_GB2312" w:hAnsi="仿宋_GB2312"/>
          <w:b w:val="false"/>
          <w:i w:val="false"/>
          <w:caps w:val="false"/>
          <w:spacing w:val="0"/>
          <w:w w:val="100"/>
          <w:sz w:val="28"/>
          <w:szCs w:val="28"/>
          <w:lang w:val="en-US" w:bidi="ar-SA" w:eastAsia="zh-CN"/>
        </w:rPr>
        <w:t>由乙方负责，</w:t>
      </w:r>
      <w:r>
        <w:rPr>
          <w:rStyle w:val="style4102"/>
          <w:rFonts w:ascii="仿宋_GB2312" w:eastAsia="仿宋_GB2312" w:hAnsi="仿宋_GB2312" w:hint="eastAsia"/>
          <w:b w:val="false"/>
          <w:i w:val="false"/>
          <w:caps w:val="false"/>
          <w:spacing w:val="0"/>
          <w:w w:val="100"/>
          <w:sz w:val="28"/>
          <w:szCs w:val="28"/>
          <w:lang w:val="en-US" w:bidi="ar-SA" w:eastAsia="zh-CN"/>
        </w:rPr>
        <w:t>处置过程的一切安全由乙方负责，</w:t>
      </w:r>
      <w:r>
        <w:rPr>
          <w:rStyle w:val="style4102"/>
          <w:rFonts w:ascii="仿宋_GB2312" w:eastAsia="仿宋_GB2312" w:hAnsi="仿宋_GB2312"/>
          <w:b w:val="false"/>
          <w:i w:val="false"/>
          <w:caps w:val="false"/>
          <w:spacing w:val="0"/>
          <w:w w:val="100"/>
          <w:sz w:val="28"/>
          <w:szCs w:val="28"/>
          <w:lang w:val="en-US" w:bidi="ar-SA" w:eastAsia="zh-CN"/>
        </w:rPr>
        <w:t>与甲方无关。</w:t>
      </w:r>
    </w:p>
    <w:p>
      <w:pPr>
        <w:pStyle w:val="style0"/>
        <w:widowControl/>
        <w:snapToGrid w:val="false"/>
        <w:spacing w:before="0" w:beforeAutospacing="false" w:after="160" w:afterAutospacing="false" w:lineRule="exact" w:line="480"/>
        <w:ind w:firstLine="560" w:firstLineChars="20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4.乙方必须在</w:t>
      </w:r>
      <w:r>
        <w:rPr>
          <w:rStyle w:val="style4102"/>
          <w:rFonts w:ascii="仿宋_GB2312" w:eastAsia="仿宋_GB2312" w:hAnsi="仿宋_GB2312" w:hint="eastAsia"/>
          <w:b w:val="false"/>
          <w:i w:val="false"/>
          <w:caps w:val="false"/>
          <w:spacing w:val="0"/>
          <w:w w:val="100"/>
          <w:sz w:val="28"/>
          <w:szCs w:val="28"/>
          <w:lang w:val="en-US" w:bidi="ar-SA" w:eastAsia="zh-CN"/>
        </w:rPr>
        <w:t>成交之日起</w:t>
      </w:r>
      <w:r>
        <w:rPr>
          <w:rStyle w:val="style4102"/>
          <w:rFonts w:ascii="仿宋_GB2312" w:eastAsia="仿宋_GB2312" w:hAnsi="仿宋_GB2312"/>
          <w:b w:val="false"/>
          <w:i w:val="false"/>
          <w:caps w:val="false"/>
          <w:spacing w:val="0"/>
          <w:w w:val="100"/>
          <w:sz w:val="28"/>
          <w:szCs w:val="28"/>
          <w:lang w:val="en-US" w:bidi="ar-SA" w:eastAsia="zh-CN"/>
        </w:rPr>
        <w:t>的</w:t>
      </w:r>
      <w:r>
        <w:rPr>
          <w:rStyle w:val="style4102"/>
          <w:rFonts w:ascii="仿宋_GB2312" w:eastAsia="仿宋_GB2312" w:hAnsi="仿宋_GB2312" w:hint="eastAsia"/>
          <w:b w:val="false"/>
          <w:i w:val="false"/>
          <w:caps w:val="false"/>
          <w:spacing w:val="0"/>
          <w:w w:val="100"/>
          <w:sz w:val="28"/>
          <w:szCs w:val="28"/>
          <w:lang w:val="en-US" w:bidi="ar-SA" w:eastAsia="zh-CN"/>
        </w:rPr>
        <w:t>6个月</w:t>
      </w:r>
      <w:r>
        <w:rPr>
          <w:rStyle w:val="style4102"/>
          <w:rFonts w:ascii="仿宋_GB2312" w:eastAsia="仿宋_GB2312" w:hAnsi="仿宋_GB2312"/>
          <w:b w:val="false"/>
          <w:i w:val="false"/>
          <w:caps w:val="false"/>
          <w:spacing w:val="0"/>
          <w:w w:val="100"/>
          <w:sz w:val="28"/>
          <w:szCs w:val="28"/>
          <w:lang w:val="en-US" w:bidi="ar-SA" w:eastAsia="zh-CN"/>
        </w:rPr>
        <w:t>内将堆场内的所有砂包土</w:t>
      </w:r>
      <w:r>
        <w:rPr>
          <w:rStyle w:val="style4102"/>
          <w:rFonts w:ascii="仿宋_GB2312" w:eastAsia="仿宋_GB2312" w:hAnsi="仿宋_GB2312" w:hint="eastAsia"/>
          <w:b w:val="false"/>
          <w:i w:val="false"/>
          <w:caps w:val="false"/>
          <w:spacing w:val="0"/>
          <w:w w:val="100"/>
          <w:sz w:val="28"/>
          <w:szCs w:val="28"/>
          <w:lang w:val="en-US" w:bidi="ar-SA" w:eastAsia="zh-CN"/>
        </w:rPr>
        <w:t>（弃渣）</w:t>
      </w:r>
      <w:r>
        <w:rPr>
          <w:rStyle w:val="style4102"/>
          <w:rFonts w:ascii="仿宋_GB2312" w:eastAsia="仿宋_GB2312" w:hAnsi="仿宋_GB2312"/>
          <w:b w:val="false"/>
          <w:i w:val="false"/>
          <w:caps w:val="false"/>
          <w:spacing w:val="0"/>
          <w:w w:val="100"/>
          <w:sz w:val="28"/>
          <w:szCs w:val="28"/>
          <w:lang w:val="en-US" w:bidi="ar-SA" w:eastAsia="zh-CN"/>
        </w:rPr>
        <w:t>清理完毕。</w:t>
      </w:r>
    </w:p>
    <w:p>
      <w:pPr>
        <w:pStyle w:val="style0"/>
        <w:widowControl/>
        <w:snapToGrid w:val="false"/>
        <w:spacing w:before="0" w:beforeAutospacing="false" w:after="160" w:afterAutospacing="false" w:lineRule="exact" w:line="480"/>
        <w:ind w:firstLine="560" w:firstLineChars="200"/>
        <w:jc w:val="both"/>
        <w:textAlignment w:val="baseline"/>
        <w:rPr>
          <w:rStyle w:val="style4102"/>
          <w:rFonts w:ascii="仿宋_GB2312" w:eastAsia="仿宋_GB2312" w:hAnsi="仿宋_GB2312"/>
          <w:b w:val="false"/>
          <w:i w:val="false"/>
          <w:caps w:val="false"/>
          <w:color w:val="000000"/>
          <w:spacing w:val="0"/>
          <w:w w:val="100"/>
          <w:sz w:val="28"/>
          <w:szCs w:val="28"/>
          <w:lang w:val="en-US" w:bidi="ar-SA" w:eastAsia="zh-CN"/>
        </w:rPr>
      </w:pPr>
      <w:r>
        <w:rPr>
          <w:rFonts w:ascii="仿宋_GB2312" w:cs="方正仿宋_GBK" w:eastAsia="仿宋_GB2312" w:hAnsi="方正仿宋_GBK" w:hint="eastAsia"/>
          <w:b w:val="false"/>
          <w:bCs w:val="false"/>
          <w:color w:val="000000"/>
          <w:sz w:val="28"/>
          <w:szCs w:val="28"/>
          <w:lang w:val="en-US" w:eastAsia="zh-CN"/>
        </w:rPr>
        <w:t>5.乙方必须按照挂网公告缴交施工保证金5万元至土地所有人福建永定工业园南部园区建设发展有限公司，并按福建永定工业园区建设发展有限公司提供的规划设计方案场地坚向设计高程施工。</w:t>
      </w:r>
    </w:p>
    <w:p>
      <w:pPr>
        <w:pStyle w:val="style0"/>
        <w:widowControl/>
        <w:snapToGrid w:val="false"/>
        <w:spacing w:before="0" w:beforeAutospacing="false" w:after="160" w:afterAutospacing="false" w:lineRule="exact" w:line="480"/>
        <w:ind w:firstLine="560"/>
        <w:jc w:val="both"/>
        <w:textAlignment w:val="baseline"/>
        <w:rPr>
          <w:rStyle w:val="style4102"/>
          <w:rFonts w:ascii="仿宋_GB2312" w:cs="仿宋_GB2312" w:eastAsia="仿宋_GB2312" w:hAnsi="仿宋_GB2312"/>
          <w:b/>
          <w:bCs/>
          <w:i w:val="false"/>
          <w:caps w:val="false"/>
          <w:spacing w:val="0"/>
          <w:w w:val="100"/>
          <w:sz w:val="28"/>
          <w:szCs w:val="28"/>
          <w:lang w:val="en-US" w:bidi="ar-SA" w:eastAsia="zh-CN"/>
        </w:rPr>
      </w:pPr>
      <w:r>
        <w:rPr>
          <w:rStyle w:val="style4102"/>
          <w:rFonts w:ascii="仿宋_GB2312" w:cs="仿宋_GB2312" w:eastAsia="仿宋_GB2312" w:hAnsi="仿宋_GB2312"/>
          <w:b/>
          <w:bCs/>
          <w:i w:val="false"/>
          <w:caps w:val="false"/>
          <w:spacing w:val="0"/>
          <w:w w:val="100"/>
          <w:sz w:val="28"/>
          <w:szCs w:val="28"/>
          <w:lang w:val="en-US" w:bidi="ar-SA" w:eastAsia="zh-CN"/>
        </w:rPr>
        <w:t>第四条  违约责任</w:t>
      </w:r>
    </w:p>
    <w:p>
      <w:pPr>
        <w:pStyle w:val="style0"/>
        <w:widowControl/>
        <w:snapToGrid w:val="false"/>
        <w:spacing w:before="0" w:beforeAutospacing="false" w:after="160" w:afterAutospacing="false" w:lineRule="exact" w:line="480"/>
        <w:ind w:firstLine="56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1.乙方未按本合同约定支付货款即构成违约，甲方有权没收乙方交到产权交易中心的竞买保证金，由此造成的损失概由乙方自行承担，甲方可视情况对上述砂包土再次组织竞价转让，同时甲方有权向乙方提起赔偿诉讼的权利。</w:t>
      </w:r>
    </w:p>
    <w:p>
      <w:pPr>
        <w:pStyle w:val="style0"/>
        <w:widowControl/>
        <w:snapToGrid w:val="false"/>
        <w:spacing w:before="0" w:beforeAutospacing="false" w:after="160" w:afterAutospacing="false" w:lineRule="exact" w:line="480"/>
        <w:ind w:firstLine="560"/>
        <w:jc w:val="both"/>
        <w:textAlignment w:val="baseline"/>
        <w:rPr>
          <w:rStyle w:val="style4102"/>
          <w:rFonts w:ascii="仿宋_GB2312" w:eastAsia="仿宋_GB2312" w:hAnsi="仿宋_GB2312"/>
          <w:b w:val="false"/>
          <w:i w:val="false"/>
          <w:caps w:val="false"/>
          <w:spacing w:val="0"/>
          <w:w w:val="100"/>
          <w:sz w:val="28"/>
          <w:szCs w:val="28"/>
          <w:lang w:val="en-US" w:bidi="ar-SA" w:eastAsia="zh-CN"/>
        </w:rPr>
      </w:pPr>
      <w:r>
        <w:rPr>
          <w:rStyle w:val="style4102"/>
          <w:rFonts w:ascii="仿宋_GB2312" w:eastAsia="仿宋_GB2312" w:hAnsi="仿宋_GB2312"/>
          <w:b w:val="false"/>
          <w:i w:val="false"/>
          <w:caps w:val="false"/>
          <w:spacing w:val="0"/>
          <w:w w:val="100"/>
          <w:sz w:val="28"/>
          <w:szCs w:val="28"/>
          <w:lang w:val="en-US" w:bidi="ar-SA" w:eastAsia="zh-CN"/>
        </w:rPr>
        <w:t>2.乙方未按约定在      内将</w:t>
      </w:r>
      <w:r>
        <w:rPr>
          <w:rStyle w:val="style4102"/>
          <w:rFonts w:ascii="仿宋_GB2312" w:eastAsia="仿宋_GB2312" w:hAnsi="仿宋_GB2312" w:hint="eastAsia"/>
          <w:b w:val="false"/>
          <w:i w:val="false"/>
          <w:caps w:val="false"/>
          <w:spacing w:val="0"/>
          <w:w w:val="100"/>
          <w:sz w:val="28"/>
          <w:szCs w:val="28"/>
          <w:lang w:val="en-US" w:bidi="ar-SA" w:eastAsia="zh-CN"/>
        </w:rPr>
        <w:t>项目所在地</w:t>
      </w:r>
      <w:r>
        <w:rPr>
          <w:rStyle w:val="style4102"/>
          <w:rFonts w:ascii="仿宋_GB2312" w:eastAsia="仿宋_GB2312" w:hAnsi="仿宋_GB2312"/>
          <w:b w:val="false"/>
          <w:i w:val="false"/>
          <w:caps w:val="false"/>
          <w:spacing w:val="0"/>
          <w:w w:val="100"/>
          <w:sz w:val="28"/>
          <w:szCs w:val="28"/>
          <w:lang w:val="en-US" w:bidi="ar-SA" w:eastAsia="zh-CN"/>
        </w:rPr>
        <w:t>所有砂包土</w:t>
      </w:r>
      <w:r>
        <w:rPr>
          <w:rStyle w:val="style4102"/>
          <w:rFonts w:ascii="仿宋_GB2312" w:eastAsia="仿宋_GB2312" w:hAnsi="仿宋_GB2312" w:hint="eastAsia"/>
          <w:b w:val="false"/>
          <w:i w:val="false"/>
          <w:caps w:val="false"/>
          <w:spacing w:val="0"/>
          <w:w w:val="100"/>
          <w:sz w:val="28"/>
          <w:szCs w:val="28"/>
          <w:lang w:val="en-US" w:bidi="ar-SA" w:eastAsia="zh-CN"/>
        </w:rPr>
        <w:t>（土方）</w:t>
      </w:r>
      <w:r>
        <w:rPr>
          <w:rStyle w:val="style4102"/>
          <w:rFonts w:ascii="仿宋_GB2312" w:eastAsia="仿宋_GB2312" w:hAnsi="仿宋_GB2312"/>
          <w:b w:val="false"/>
          <w:i w:val="false"/>
          <w:caps w:val="false"/>
          <w:spacing w:val="0"/>
          <w:w w:val="100"/>
          <w:sz w:val="28"/>
          <w:szCs w:val="28"/>
          <w:lang w:val="en-US" w:bidi="ar-SA" w:eastAsia="zh-CN"/>
        </w:rPr>
        <w:t>清理完成的，剩余未处理部分无偿归还甲方处置。</w:t>
      </w:r>
    </w:p>
    <w:p>
      <w:pPr>
        <w:pStyle w:val="style4098"/>
        <w:widowControl/>
        <w:snapToGrid w:val="false"/>
        <w:spacing w:before="0" w:beforeAutospacing="false" w:after="160" w:afterAutospacing="false" w:lineRule="exact" w:line="480"/>
        <w:ind w:firstLine="562" w:firstLineChars="200"/>
        <w:jc w:val="both"/>
        <w:textAlignment w:val="baseline"/>
        <w:rPr>
          <w:rStyle w:val="style4102"/>
          <w:rFonts w:ascii="仿宋_GB2312" w:eastAsia="仿宋_GB2312" w:hAnsi="仿宋_GB2312"/>
          <w:b w:val="false"/>
          <w:i w:val="false"/>
          <w:caps w:val="false"/>
          <w:spacing w:val="0"/>
          <w:w w:val="100"/>
          <w:sz w:val="28"/>
          <w:szCs w:val="28"/>
        </w:rPr>
      </w:pPr>
      <w:r>
        <w:rPr>
          <w:rStyle w:val="style4102"/>
          <w:rFonts w:ascii="仿宋_GB2312" w:cs="仿宋_GB2312" w:eastAsia="仿宋_GB2312" w:hAnsi="仿宋_GB2312"/>
          <w:b/>
          <w:bCs/>
          <w:i w:val="false"/>
          <w:caps w:val="false"/>
          <w:spacing w:val="0"/>
          <w:w w:val="100"/>
          <w:sz w:val="28"/>
          <w:szCs w:val="28"/>
        </w:rPr>
        <w:t>第五条</w:t>
      </w:r>
      <w:r>
        <w:rPr>
          <w:rStyle w:val="style4102"/>
          <w:rFonts w:ascii="仿宋_GB2312" w:eastAsia="仿宋_GB2312" w:hAnsi="仿宋_GB2312"/>
          <w:b w:val="false"/>
          <w:i w:val="false"/>
          <w:caps w:val="false"/>
          <w:spacing w:val="0"/>
          <w:w w:val="100"/>
          <w:sz w:val="28"/>
          <w:szCs w:val="28"/>
        </w:rPr>
        <w:t xml:space="preserve">  本协议一式三份，</w:t>
      </w:r>
      <w:r>
        <w:rPr>
          <w:rStyle w:val="style4102"/>
          <w:rFonts w:ascii="仿宋_GB2312" w:eastAsia="仿宋_GB2312" w:hAnsi="仿宋_GB2312"/>
          <w:b w:val="false"/>
          <w:i w:val="false"/>
          <w:caps w:val="false"/>
          <w:color w:val="000000"/>
          <w:spacing w:val="0"/>
          <w:w w:val="100"/>
          <w:sz w:val="28"/>
          <w:szCs w:val="28"/>
        </w:rPr>
        <w:t>甲、乙</w:t>
      </w:r>
      <w:r>
        <w:rPr>
          <w:rStyle w:val="style4102"/>
          <w:rFonts w:ascii="仿宋_GB2312" w:eastAsia="仿宋_GB2312" w:hAnsi="仿宋_GB2312"/>
          <w:b w:val="false"/>
          <w:i w:val="false"/>
          <w:caps w:val="false"/>
          <w:spacing w:val="0"/>
          <w:w w:val="100"/>
          <w:sz w:val="28"/>
          <w:szCs w:val="28"/>
        </w:rPr>
        <w:t>双方及产权交易中心各执一份，经</w:t>
      </w:r>
      <w:r>
        <w:rPr>
          <w:rStyle w:val="style4102"/>
          <w:rFonts w:ascii="仿宋_GB2312" w:eastAsia="仿宋_GB2312" w:hAnsi="仿宋_GB2312"/>
          <w:b w:val="false"/>
          <w:i w:val="false"/>
          <w:caps w:val="false"/>
          <w:color w:val="000000"/>
          <w:spacing w:val="0"/>
          <w:w w:val="100"/>
          <w:sz w:val="28"/>
          <w:szCs w:val="28"/>
        </w:rPr>
        <w:t>甲、乙</w:t>
      </w:r>
      <w:r>
        <w:rPr>
          <w:rStyle w:val="style4102"/>
          <w:rFonts w:ascii="仿宋_GB2312" w:eastAsia="仿宋_GB2312" w:hAnsi="仿宋_GB2312"/>
          <w:b w:val="false"/>
          <w:i w:val="false"/>
          <w:caps w:val="false"/>
          <w:spacing w:val="0"/>
          <w:w w:val="100"/>
          <w:sz w:val="28"/>
          <w:szCs w:val="28"/>
        </w:rPr>
        <w:t>双方代表签字</w:t>
      </w:r>
      <w:r>
        <w:rPr>
          <w:rStyle w:val="style4102"/>
          <w:rFonts w:ascii="仿宋_GB2312" w:eastAsia="仿宋_GB2312" w:hAnsi="仿宋_GB2312"/>
          <w:b w:val="false"/>
          <w:i w:val="false"/>
          <w:caps w:val="false"/>
          <w:color w:val="000000"/>
          <w:spacing w:val="0"/>
          <w:w w:val="100"/>
          <w:sz w:val="28"/>
          <w:szCs w:val="28"/>
        </w:rPr>
        <w:t>或</w:t>
      </w:r>
      <w:r>
        <w:rPr>
          <w:rStyle w:val="style4102"/>
          <w:rFonts w:ascii="仿宋_GB2312" w:eastAsia="仿宋_GB2312" w:hAnsi="仿宋_GB2312"/>
          <w:b w:val="false"/>
          <w:i w:val="false"/>
          <w:caps w:val="false"/>
          <w:spacing w:val="0"/>
          <w:w w:val="100"/>
          <w:sz w:val="28"/>
          <w:szCs w:val="28"/>
        </w:rPr>
        <w:t>盖章后立即生效，具有同等法律效力。</w:t>
      </w:r>
    </w:p>
    <w:p>
      <w:pPr>
        <w:pStyle w:val="style0"/>
        <w:widowControl/>
        <w:snapToGrid w:val="false"/>
        <w:spacing w:before="0" w:beforeAutospacing="false" w:after="160" w:afterAutospacing="false" w:lineRule="exact" w:line="480"/>
        <w:jc w:val="both"/>
        <w:textAlignment w:val="baseline"/>
        <w:rPr>
          <w:rStyle w:val="style4102"/>
          <w:rFonts w:ascii="仿宋" w:eastAsia="仿宋" w:hAnsi="仿宋"/>
          <w:b w:val="false"/>
          <w:i w:val="false"/>
          <w:caps w:val="false"/>
          <w:spacing w:val="0"/>
          <w:w w:val="100"/>
          <w:sz w:val="24"/>
          <w:szCs w:val="24"/>
          <w:lang w:val="en-US" w:bidi="ar-SA" w:eastAsia="zh-CN"/>
        </w:rPr>
      </w:pPr>
      <w:r>
        <w:rPr>
          <w:rStyle w:val="style4102"/>
          <w:rFonts w:ascii="仿宋" w:eastAsia="仿宋" w:hAnsi="仿宋"/>
          <w:b w:val="false"/>
          <w:i w:val="false"/>
          <w:caps w:val="false"/>
          <w:spacing w:val="0"/>
          <w:w w:val="100"/>
          <w:sz w:val="24"/>
          <w:szCs w:val="24"/>
          <w:lang w:val="en-US" w:bidi="ar-SA" w:eastAsia="zh-CN"/>
        </w:rPr>
        <w:t>甲方（公章）：                            乙方（公章）：</w:t>
      </w:r>
    </w:p>
    <w:p>
      <w:pPr>
        <w:pStyle w:val="style0"/>
        <w:widowControl/>
        <w:snapToGrid w:val="false"/>
        <w:spacing w:before="0" w:beforeAutospacing="false" w:after="160" w:afterAutospacing="false" w:lineRule="exact" w:line="480"/>
        <w:jc w:val="both"/>
        <w:textAlignment w:val="baseline"/>
        <w:rPr>
          <w:rStyle w:val="style4102"/>
          <w:rFonts w:ascii="仿宋" w:eastAsia="仿宋" w:hAnsi="仿宋"/>
          <w:b w:val="false"/>
          <w:i w:val="false"/>
          <w:caps w:val="false"/>
          <w:spacing w:val="0"/>
          <w:w w:val="100"/>
          <w:sz w:val="24"/>
          <w:szCs w:val="24"/>
          <w:lang w:val="en-US" w:bidi="ar-SA" w:eastAsia="zh-CN"/>
        </w:rPr>
      </w:pPr>
    </w:p>
    <w:p>
      <w:pPr>
        <w:pStyle w:val="style0"/>
        <w:widowControl/>
        <w:snapToGrid w:val="false"/>
        <w:spacing w:before="0" w:beforeAutospacing="false" w:after="160" w:afterAutospacing="false" w:lineRule="exact" w:line="480"/>
        <w:jc w:val="both"/>
        <w:textAlignment w:val="baseline"/>
        <w:rPr>
          <w:rStyle w:val="style4102"/>
          <w:rFonts w:ascii="仿宋" w:eastAsia="仿宋" w:hAnsi="仿宋"/>
          <w:b w:val="false"/>
          <w:i w:val="false"/>
          <w:caps w:val="false"/>
          <w:spacing w:val="0"/>
          <w:w w:val="100"/>
          <w:sz w:val="24"/>
          <w:szCs w:val="24"/>
          <w:lang w:val="en-US" w:bidi="ar-SA" w:eastAsia="zh-CN"/>
        </w:rPr>
      </w:pPr>
      <w:r>
        <w:rPr>
          <w:rStyle w:val="style4102"/>
          <w:rFonts w:ascii="仿宋" w:eastAsia="仿宋" w:hAnsi="仿宋"/>
          <w:b w:val="false"/>
          <w:i w:val="false"/>
          <w:caps w:val="false"/>
          <w:spacing w:val="0"/>
          <w:w w:val="100"/>
          <w:sz w:val="24"/>
          <w:szCs w:val="24"/>
          <w:lang w:val="en-US" w:bidi="ar-SA" w:eastAsia="zh-CN"/>
        </w:rPr>
        <w:t>法定代表人或委托代表人（签字）：          法定代表人或委托代表人（签字）：</w:t>
      </w:r>
    </w:p>
    <w:p>
      <w:pPr>
        <w:pStyle w:val="style0"/>
        <w:widowControl/>
        <w:snapToGrid w:val="false"/>
        <w:spacing w:before="0" w:beforeAutospacing="false" w:after="160" w:afterAutospacing="false" w:lineRule="exact" w:line="480"/>
        <w:ind w:firstLine="6720" w:firstLineChars="2100"/>
        <w:jc w:val="both"/>
        <w:textAlignment w:val="baseline"/>
        <w:rPr>
          <w:rStyle w:val="style4102"/>
          <w:rFonts w:ascii="仿宋" w:eastAsia="仿宋" w:hAnsi="仿宋"/>
          <w:b w:val="false"/>
          <w:i w:val="false"/>
          <w:caps w:val="false"/>
          <w:spacing w:val="0"/>
          <w:w w:val="100"/>
          <w:sz w:val="32"/>
          <w:szCs w:val="32"/>
          <w:lang w:val="en-US" w:bidi="ar-SA" w:eastAsia="zh-CN"/>
        </w:rPr>
      </w:pPr>
    </w:p>
    <w:p>
      <w:pPr>
        <w:pStyle w:val="style0"/>
        <w:widowControl/>
        <w:snapToGrid w:val="false"/>
        <w:spacing w:before="0" w:beforeAutospacing="false" w:after="160" w:afterAutospacing="false" w:lineRule="exact" w:line="480"/>
        <w:ind w:firstLine="5440" w:firstLineChars="1700"/>
        <w:jc w:val="both"/>
        <w:textAlignment w:val="baseline"/>
        <w:rPr>
          <w:rStyle w:val="style4102"/>
          <w:rFonts w:ascii="仿宋" w:eastAsia="仿宋" w:hAnsi="仿宋"/>
          <w:b w:val="false"/>
          <w:i w:val="false"/>
          <w:caps w:val="false"/>
          <w:spacing w:val="0"/>
          <w:w w:val="100"/>
          <w:sz w:val="32"/>
          <w:szCs w:val="32"/>
          <w:u w:val="single"/>
          <w:lang w:val="en-US" w:bidi="ar-SA" w:eastAsia="zh-CN"/>
        </w:rPr>
      </w:pPr>
      <w:r>
        <w:rPr>
          <w:rStyle w:val="style4102"/>
          <w:rFonts w:ascii="仿宋" w:eastAsia="仿宋" w:hAnsi="仿宋"/>
          <w:b w:val="false"/>
          <w:i w:val="false"/>
          <w:caps w:val="false"/>
          <w:spacing w:val="0"/>
          <w:w w:val="100"/>
          <w:sz w:val="32"/>
          <w:szCs w:val="32"/>
          <w:lang w:val="en-US" w:bidi="ar-SA" w:eastAsia="zh-CN"/>
        </w:rPr>
        <w:t>202</w:t>
      </w:r>
      <w:r>
        <w:rPr>
          <w:rStyle w:val="style4102"/>
          <w:rFonts w:ascii="仿宋" w:eastAsia="仿宋" w:hAnsi="仿宋" w:hint="eastAsia"/>
          <w:b w:val="false"/>
          <w:i w:val="false"/>
          <w:caps w:val="false"/>
          <w:spacing w:val="0"/>
          <w:w w:val="100"/>
          <w:sz w:val="32"/>
          <w:szCs w:val="32"/>
          <w:lang w:val="en-US" w:bidi="ar-SA" w:eastAsia="zh-CN"/>
        </w:rPr>
        <w:t>2</w:t>
      </w:r>
      <w:r>
        <w:rPr>
          <w:rStyle w:val="style4102"/>
          <w:rFonts w:ascii="仿宋" w:eastAsia="仿宋" w:hAnsi="仿宋"/>
          <w:b w:val="false"/>
          <w:i w:val="false"/>
          <w:caps w:val="false"/>
          <w:spacing w:val="0"/>
          <w:w w:val="100"/>
          <w:sz w:val="32"/>
          <w:szCs w:val="32"/>
          <w:lang w:val="en-US" w:bidi="ar-SA" w:eastAsia="zh-CN"/>
        </w:rPr>
        <w:t>年  月  日</w:t>
      </w:r>
    </w:p>
    <w:sectPr>
      <w:footerReference w:type="default" r:id="rId2"/>
      <w:pgSz w:w="11906" w:h="16838" w:orient="portrait"/>
      <w:pgMar w:top="1440" w:right="1080" w:bottom="1440" w:left="1080" w:header="851" w:footer="992" w:gutter="0"/>
      <w:paperSrc w:first="0" w:other="0"/>
      <w:lnNumType w:countBy="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Tahoma">
    <w:altName w:val="Tahoma"/>
    <w:panose1 w:val="020b0604030005040204"/>
    <w:charset w:val="00"/>
    <w:family w:val="auto"/>
    <w:pitch w:val="default"/>
    <w:sig w:usb0="E1002EFF" w:usb1="C000605B" w:usb2="00000029" w:usb3="00000000" w:csb0="200101FF" w:csb1="20280000"/>
  </w:font>
  <w:font w:name="Symbol">
    <w:altName w:val="Symbol"/>
    <w:panose1 w:val="05050102010007020507"/>
    <w:charset w:val="02"/>
    <w:family w:val="roman"/>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微软雅黑">
    <w:altName w:val="微软雅黑"/>
    <w:panose1 w:val="020b0503020002020204"/>
    <w:charset w:val="86"/>
    <w:family w:val="auto"/>
    <w:pitch w:val="default"/>
    <w:sig w:usb0="80000287" w:usb1="280F3C52" w:usb2="00000016" w:usb3="00000000" w:csb0="0004001F" w:csb1="00000000"/>
  </w:font>
  <w:font w:name="Calibri">
    <w:altName w:val="Calibri"/>
    <w:panose1 w:val="020f0502020002030204"/>
    <w:charset w:val="00"/>
    <w:family w:val="auto"/>
    <w:pitch w:val="default"/>
    <w:sig w:usb0="E00002FF" w:usb1="4000ACFF" w:usb2="00000001" w:usb3="00000000" w:csb0="2000019F" w:csb1="00000000"/>
  </w:font>
  <w:font w:name="仿宋_GB2312">
    <w:altName w:val="仿宋"/>
    <w:panose1 w:val="020106090300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4100"/>
      <w:widowControl/>
      <w:snapToGrid w:val="false"/>
      <w:jc w:val="left"/>
      <w:textAlignment w:val="baseline"/>
      <w:rPr>
        <w:rStyle w:val="style4102"/>
        <w:rFonts w:ascii="Tahoma" w:hAnsi="Tahoma"/>
        <w:sz w:val="18"/>
        <w:szCs w:val="22"/>
        <w:lang w:val="en-US" w:bidi="ar-SA" w:eastAsia="zh-CN"/>
      </w:rPr>
    </w:pPr>
    <w:r>
      <w:rPr>
        <w:rFonts w:ascii="Tahoma" w:cs="Calibri" w:eastAsia="微软雅黑" w:hAnsi="Tahoma"/>
        <w:sz w:val="18"/>
        <w:szCs w:val="22"/>
        <w:lang w:val="en-US" w:bidi="ar-SA" w:eastAsia="zh-CN"/>
      </w:rPr>
      <w:pict>
        <v:shapetype id="_x0000_t202" coordsize="21600,21600" o:spt="202" path="m,l,21600r21600,l21600,xe">
          <v:stroke joinstyle="miter"/>
          <v:path gradientshapeok="t" o:connecttype="rect"/>
        </v:shapetype>
        <v:shape id="4097" type="#_x0000_t202" filled="f" stroked="f" style="position:absolute;margin-left:0.0pt;margin-top:0.0pt;width:144.0pt;height:144.0pt;z-index:2;mso-position-horizontal:outside;mso-position-horizontal-relative:margin;mso-position-vertical-relative:text;mso-width-relative:page;mso-height-relative:page;mso-wrap-distance-left:0.0pt;mso-wrap-distance-right:0.0pt;visibility:visible;">
          <v:stroke on="f"/>
          <v:fill/>
          <v:textbox inset="0.0pt,0.0pt,0.0pt,0.0pt">
            <w:txbxContent>
              <w:p>
                <w:pPr>
                  <w:pStyle w:val="style4100"/>
                  <w:widowControl/>
                  <w:snapToGrid w:val="false"/>
                  <w:jc w:val="left"/>
                  <w:textAlignment w:val="baseline"/>
                  <w:rPr>
                    <w:rStyle w:val="style4102"/>
                    <w:rFonts w:ascii="Tahoma" w:hAnsi="Tahoma"/>
                    <w:sz w:val="18"/>
                    <w:szCs w:val="22"/>
                    <w:lang w:val="en-US" w:bidi="ar-SA" w:eastAsia="zh-CN"/>
                  </w:rPr>
                </w:pPr>
              </w:p>
              <w:p>
                <w:pPr>
                  <w:pStyle w:val="style0"/>
                  <w:widowControl/>
                  <w:snapToGrid w:val="false"/>
                  <w:spacing w:after="200"/>
                  <w:textAlignment w:val="baseline"/>
                  <w:rPr>
                    <w:rStyle w:val="style4102"/>
                    <w:rFonts w:ascii="Tahoma" w:hAnsi="Tahoma"/>
                    <w:sz w:val="22"/>
                    <w:szCs w:val="22"/>
                    <w:lang w:val="en-US" w:bidi="ar-SA" w:eastAsia="zh-C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isplayHorizontalDrawingGridEvery w:val="0"/>
  <w:displayVerticalDrawingGridEvery w:val="2"/>
  <w:doNotUseMarginsForDrawingGridOrigin/>
  <w:drawingGridHorizontalOrigin w:val="0"/>
  <w:drawingGridVerticalOrigin w:val="0"/>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微软雅黑" w:hAnsi="Calibri"/>
        <w:lang w:val="en-US" w:bidi="ar-SA" w:eastAsia="zh-CN"/>
      </w:rPr>
    </w:rPrDefault>
    <w:pPrDefault>
      <w:pPr/>
    </w:pPrDefault>
  </w:docDefaults>
  <w:style w:type="paragraph" w:default="1" w:styleId="style0">
    <w:name w:val="Normal"/>
    <w:next w:val="style0"/>
    <w:uiPriority w:val="0"/>
    <w:pPr>
      <w:widowControl/>
      <w:snapToGrid w:val="false"/>
      <w:spacing w:after="200"/>
      <w:textAlignment w:val="baseline"/>
    </w:pPr>
    <w:rPr>
      <w:rFonts w:ascii="Tahoma" w:cs="Calibri" w:eastAsia="微软雅黑" w:hAnsi="Tahoma"/>
      <w:sz w:val="22"/>
      <w:szCs w:val="22"/>
      <w:lang w:val="en-US" w:bidi="ar-SA" w:eastAsia="zh-CN"/>
    </w:rPr>
  </w:style>
  <w:style w:type="paragraph" w:styleId="style32">
    <w:name w:val="footer"/>
    <w:basedOn w:val="style0"/>
    <w:next w:val="style32"/>
    <w:uiPriority w:val="99"/>
    <w:pPr>
      <w:tabs>
        <w:tab w:val="center" w:leader="none" w:pos="4153"/>
        <w:tab w:val="right" w:leader="none" w:pos="8306"/>
      </w:tabs>
      <w:snapToGrid w:val="false"/>
      <w:jc w:val="left"/>
      <w:textAlignment w:val="baseline"/>
    </w:pPr>
    <w:rPr>
      <w:kern w:val="2"/>
      <w:sz w:val="18"/>
      <w:szCs w:val="18"/>
      <w:lang w:val="en-US" w:bidi="ar-SA" w:eastAsia="zh-CN"/>
    </w:rPr>
  </w:style>
  <w:style w:type="paragraph" w:customStyle="1" w:styleId="style4097">
    <w:name w:val="UserStyle_1"/>
    <w:basedOn w:val="style0"/>
    <w:next w:val="style4097"/>
    <w:uiPriority w:val="0"/>
    <w:pPr>
      <w:spacing w:after="0"/>
      <w:jc w:val="both"/>
      <w:textAlignment w:val="baseline"/>
    </w:pPr>
    <w:rPr>
      <w:rFonts w:ascii="Times New Roman" w:eastAsia="宋体" w:hAnsi="Times New Roman"/>
      <w:kern w:val="2"/>
      <w:sz w:val="21"/>
      <w:szCs w:val="24"/>
      <w:lang w:val="en-US" w:bidi="ar-SA" w:eastAsia="zh-CN"/>
    </w:rPr>
  </w:style>
  <w:style w:type="paragraph" w:customStyle="1" w:styleId="style4098">
    <w:name w:val="179"/>
    <w:basedOn w:val="style0"/>
    <w:next w:val="style4098"/>
    <w:uiPriority w:val="0"/>
    <w:pPr>
      <w:widowControl/>
      <w:snapToGrid w:val="false"/>
      <w:spacing w:after="200"/>
      <w:ind w:firstLine="420" w:firstLineChars="200"/>
      <w:textAlignment w:val="baseline"/>
    </w:pPr>
    <w:rPr/>
  </w:style>
  <w:style w:type="paragraph" w:customStyle="1" w:styleId="style4099">
    <w:name w:val="Header"/>
    <w:basedOn w:val="style0"/>
    <w:next w:val="style4099"/>
    <w:uiPriority w:val="0"/>
    <w:pPr>
      <w:widowControl/>
      <w:pBdr>
        <w:left w:val="none" w:sz="0" w:space="4" w:color="000000"/>
        <w:right w:val="none" w:sz="0" w:space="4" w:color="000000"/>
        <w:top w:val="none" w:sz="0" w:space="1" w:color="000000"/>
        <w:bottom w:val="none" w:sz="0" w:space="1" w:color="000000"/>
      </w:pBdr>
      <w:tabs>
        <w:tab w:val="center" w:leader="none" w:pos="4153"/>
        <w:tab w:val="right" w:leader="none" w:pos="8306"/>
      </w:tabs>
      <w:snapToGrid w:val="false"/>
      <w:spacing w:after="200" w:lineRule="auto" w:line="240"/>
      <w:jc w:val="both"/>
      <w:textAlignment w:val="baseline"/>
    </w:pPr>
    <w:rPr>
      <w:rFonts w:ascii="Tahoma" w:hAnsi="Tahoma"/>
      <w:sz w:val="18"/>
      <w:szCs w:val="22"/>
      <w:lang w:val="en-US" w:bidi="ar-SA" w:eastAsia="zh-CN"/>
    </w:rPr>
  </w:style>
  <w:style w:type="paragraph" w:customStyle="1" w:styleId="style4100">
    <w:name w:val="Footer"/>
    <w:basedOn w:val="style0"/>
    <w:next w:val="style4100"/>
    <w:uiPriority w:val="0"/>
    <w:pPr>
      <w:widowControl/>
      <w:tabs>
        <w:tab w:val="center" w:leader="none" w:pos="4153"/>
        <w:tab w:val="right" w:leader="none" w:pos="8306"/>
      </w:tabs>
      <w:snapToGrid w:val="false"/>
      <w:spacing w:after="200"/>
      <w:jc w:val="left"/>
      <w:textAlignment w:val="baseline"/>
    </w:pPr>
    <w:rPr>
      <w:rFonts w:ascii="Tahoma" w:hAnsi="Tahoma"/>
      <w:sz w:val="18"/>
      <w:szCs w:val="22"/>
      <w:lang w:val="en-US" w:bidi="ar-SA" w:eastAsia="zh-CN"/>
    </w:rPr>
  </w:style>
  <w:style w:type="paragraph" w:customStyle="1" w:styleId="style4101">
    <w:name w:val="Acetate"/>
    <w:basedOn w:val="style0"/>
    <w:next w:val="style4101"/>
    <w:link w:val="style4103"/>
    <w:uiPriority w:val="0"/>
    <w:pPr>
      <w:widowControl/>
      <w:snapToGrid w:val="false"/>
      <w:spacing w:after="0"/>
      <w:textAlignment w:val="baseline"/>
    </w:pPr>
    <w:rPr>
      <w:rFonts w:ascii="Tahoma" w:hAnsi="Tahoma"/>
      <w:sz w:val="18"/>
      <w:szCs w:val="18"/>
      <w:lang w:val="en-US" w:bidi="ar-SA" w:eastAsia="zh-CN"/>
    </w:rPr>
  </w:style>
  <w:style w:type="character" w:customStyle="1" w:styleId="style4102">
    <w:name w:val="NormalCharacter"/>
    <w:next w:val="style4102"/>
    <w:uiPriority w:val="0"/>
  </w:style>
  <w:style w:type="character" w:customStyle="1" w:styleId="style4103">
    <w:name w:val="UserStyle_0"/>
    <w:next w:val="style4103"/>
    <w:link w:val="style4101"/>
    <w:uiPriority w:val="0"/>
    <w:rPr>
      <w:rFonts w:ascii="Tahoma" w:hAnsi="Tahoma"/>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1058</Words>
  <Pages>0</Pages>
  <Characters>1091</Characters>
  <Application>WPS Office</Application>
  <DocSecurity>0</DocSecurity>
  <Paragraphs>33</Paragraphs>
  <ScaleCrop>false</ScaleCrop>
  <LinksUpToDate>false</LinksUpToDate>
  <CharactersWithSpaces>1232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2021-10-09T08:45:00Z</dcterms:created>
  <dc:creator>WPS Office</dc:creator>
  <lastModifiedBy>PBET00</lastModifiedBy>
  <dcterms:modified xsi:type="dcterms:W3CDTF">2022-04-24T05:42:03Z</dcterms:modified>
  <dc:title>弃渣（砂包土）销售合同</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88ee2152966a4cddbbdee777a3a3cced</vt:lpwstr>
  </property>
</Properties>
</file>