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bookmarkStart w:id="5" w:name="_GoBack"/>
      <w:bookmarkEnd w:id="5"/>
      <w:r>
        <w:rPr>
          <w:rFonts w:hint="eastAsia" w:ascii="楷体_GB2312" w:hAnsi="仿宋" w:eastAsia="楷体_GB2312"/>
          <w:b/>
          <w:sz w:val="32"/>
          <w:szCs w:val="32"/>
        </w:rPr>
        <w:t>附件一：</w:t>
      </w:r>
      <w:r>
        <w:rPr>
          <w:rFonts w:ascii="仿宋" w:hAnsi="仿宋" w:eastAsia="仿宋"/>
          <w:sz w:val="32"/>
          <w:szCs w:val="32"/>
        </w:rPr>
        <w:t xml:space="preserve"> </w:t>
      </w:r>
    </w:p>
    <w:p>
      <w:pPr>
        <w:jc w:val="center"/>
        <w:rPr>
          <w:rFonts w:ascii="仿宋" w:hAnsi="仿宋" w:eastAsia="仿宋"/>
          <w:b/>
          <w:sz w:val="32"/>
          <w:szCs w:val="32"/>
        </w:rPr>
      </w:pPr>
      <w:r>
        <w:rPr>
          <w:rFonts w:hint="eastAsia" w:ascii="仿宋" w:hAnsi="仿宋" w:eastAsia="仿宋"/>
          <w:b/>
          <w:sz w:val="32"/>
          <w:szCs w:val="32"/>
        </w:rPr>
        <w:t>龙岩交建集团2022年度常年法律顾问资格预审表</w:t>
      </w:r>
    </w:p>
    <w:tbl>
      <w:tblPr>
        <w:tblStyle w:val="9"/>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969"/>
        <w:gridCol w:w="1276"/>
        <w:gridCol w:w="860"/>
        <w:gridCol w:w="4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114" w:type="dxa"/>
            <w:gridSpan w:val="5"/>
            <w:noWrap/>
            <w:vAlign w:val="center"/>
          </w:tcPr>
          <w:p>
            <w:pPr>
              <w:widowControl/>
              <w:jc w:val="center"/>
              <w:textAlignment w:val="center"/>
              <w:rPr>
                <w:rFonts w:ascii="仿宋" w:hAnsi="仿宋" w:eastAsia="仿宋" w:cs="仿宋"/>
                <w:sz w:val="24"/>
              </w:rPr>
            </w:pPr>
            <w:r>
              <w:rPr>
                <w:rFonts w:hint="eastAsia" w:ascii="仿宋" w:hAnsi="仿宋" w:eastAsia="仿宋" w:cs="仿宋"/>
                <w:b/>
                <w:color w:val="000000"/>
                <w:kern w:val="0"/>
                <w:sz w:val="24"/>
              </w:rPr>
              <w:t>龙岩交建集团2022年度常年法律顾问资格预审表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4" w:type="dxa"/>
            <w:noWrap/>
            <w:vAlign w:val="center"/>
          </w:tcPr>
          <w:p>
            <w:pPr>
              <w:widowControl/>
              <w:jc w:val="left"/>
              <w:textAlignment w:val="center"/>
              <w:rPr>
                <w:rFonts w:ascii="仿宋" w:hAnsi="仿宋" w:eastAsia="仿宋" w:cs="仿宋"/>
                <w:sz w:val="24"/>
              </w:rPr>
            </w:pPr>
            <w:r>
              <w:rPr>
                <w:rFonts w:hint="eastAsia" w:ascii="仿宋" w:hAnsi="仿宋" w:eastAsia="仿宋" w:cs="仿宋"/>
                <w:b/>
                <w:color w:val="000000"/>
                <w:kern w:val="0"/>
                <w:sz w:val="24"/>
              </w:rPr>
              <w:t>律所名称（盖章）</w:t>
            </w:r>
          </w:p>
        </w:tc>
        <w:tc>
          <w:tcPr>
            <w:tcW w:w="969" w:type="dxa"/>
            <w:noWrap/>
            <w:vAlign w:val="center"/>
          </w:tcPr>
          <w:p>
            <w:pPr>
              <w:widowControl/>
              <w:jc w:val="center"/>
              <w:textAlignment w:val="center"/>
              <w:rPr>
                <w:rFonts w:ascii="仿宋" w:hAnsi="仿宋" w:eastAsia="仿宋" w:cs="仿宋"/>
                <w:sz w:val="24"/>
              </w:rPr>
            </w:pPr>
            <w:r>
              <w:rPr>
                <w:rFonts w:hint="eastAsia" w:ascii="仿宋" w:hAnsi="仿宋" w:eastAsia="仿宋" w:cs="仿宋"/>
                <w:b/>
                <w:color w:val="000000"/>
                <w:kern w:val="0"/>
                <w:sz w:val="24"/>
              </w:rPr>
              <w:t>负责人</w:t>
            </w:r>
          </w:p>
        </w:tc>
        <w:tc>
          <w:tcPr>
            <w:tcW w:w="1276" w:type="dxa"/>
            <w:noWrap/>
            <w:vAlign w:val="center"/>
          </w:tcPr>
          <w:p>
            <w:pPr>
              <w:widowControl/>
              <w:jc w:val="center"/>
              <w:textAlignment w:val="center"/>
              <w:rPr>
                <w:rFonts w:ascii="仿宋" w:hAnsi="仿宋" w:eastAsia="仿宋" w:cs="仿宋"/>
                <w:sz w:val="24"/>
              </w:rPr>
            </w:pPr>
            <w:r>
              <w:rPr>
                <w:rFonts w:hint="eastAsia" w:ascii="仿宋" w:hAnsi="仿宋" w:eastAsia="仿宋" w:cs="仿宋"/>
                <w:b/>
                <w:color w:val="000000"/>
                <w:kern w:val="0"/>
                <w:sz w:val="24"/>
              </w:rPr>
              <w:t>成立时间</w:t>
            </w:r>
          </w:p>
        </w:tc>
        <w:tc>
          <w:tcPr>
            <w:tcW w:w="860" w:type="dxa"/>
            <w:noWrap/>
            <w:vAlign w:val="center"/>
          </w:tcPr>
          <w:p>
            <w:pPr>
              <w:widowControl/>
              <w:jc w:val="center"/>
              <w:textAlignment w:val="center"/>
              <w:rPr>
                <w:rFonts w:ascii="仿宋" w:hAnsi="仿宋" w:eastAsia="仿宋" w:cs="仿宋"/>
                <w:sz w:val="24"/>
              </w:rPr>
            </w:pPr>
            <w:r>
              <w:rPr>
                <w:rFonts w:hint="eastAsia" w:ascii="仿宋" w:hAnsi="仿宋" w:eastAsia="仿宋" w:cs="仿宋"/>
                <w:b/>
                <w:color w:val="000000"/>
                <w:kern w:val="0"/>
                <w:sz w:val="24"/>
              </w:rPr>
              <w:t>执业律师人数</w:t>
            </w:r>
          </w:p>
        </w:tc>
        <w:tc>
          <w:tcPr>
            <w:tcW w:w="4035" w:type="dxa"/>
            <w:noWrap/>
            <w:vAlign w:val="center"/>
          </w:tcPr>
          <w:p>
            <w:pPr>
              <w:jc w:val="center"/>
              <w:rPr>
                <w:rFonts w:ascii="仿宋" w:hAnsi="仿宋" w:eastAsia="仿宋" w:cs="仿宋"/>
                <w:sz w:val="24"/>
              </w:rPr>
            </w:pPr>
            <w:r>
              <w:rPr>
                <w:rFonts w:hint="eastAsia" w:ascii="仿宋" w:hAnsi="仿宋" w:eastAsia="仿宋" w:cs="仿宋"/>
                <w:b/>
                <w:color w:val="000000"/>
                <w:kern w:val="0"/>
                <w:sz w:val="24"/>
              </w:rPr>
              <w:t>获得荣誉（近三年）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1974" w:type="dxa"/>
            <w:noWrap/>
            <w:vAlign w:val="center"/>
          </w:tcPr>
          <w:p>
            <w:pPr>
              <w:rPr>
                <w:rFonts w:ascii="仿宋" w:hAnsi="仿宋" w:eastAsia="仿宋" w:cs="仿宋"/>
                <w:sz w:val="24"/>
              </w:rPr>
            </w:pPr>
          </w:p>
        </w:tc>
        <w:tc>
          <w:tcPr>
            <w:tcW w:w="969" w:type="dxa"/>
            <w:noWrap/>
            <w:vAlign w:val="center"/>
          </w:tcPr>
          <w:p>
            <w:pPr>
              <w:jc w:val="center"/>
              <w:rPr>
                <w:rFonts w:ascii="仿宋" w:hAnsi="仿宋" w:eastAsia="仿宋" w:cs="仿宋"/>
                <w:sz w:val="24"/>
              </w:rPr>
            </w:pPr>
          </w:p>
        </w:tc>
        <w:tc>
          <w:tcPr>
            <w:tcW w:w="1276" w:type="dxa"/>
            <w:noWrap/>
            <w:vAlign w:val="center"/>
          </w:tcPr>
          <w:p>
            <w:pPr>
              <w:jc w:val="center"/>
              <w:rPr>
                <w:rFonts w:ascii="仿宋" w:hAnsi="仿宋" w:eastAsia="仿宋" w:cs="仿宋"/>
                <w:sz w:val="24"/>
              </w:rPr>
            </w:pPr>
          </w:p>
        </w:tc>
        <w:tc>
          <w:tcPr>
            <w:tcW w:w="860" w:type="dxa"/>
            <w:noWrap/>
            <w:vAlign w:val="center"/>
          </w:tcPr>
          <w:p>
            <w:pPr>
              <w:jc w:val="center"/>
              <w:rPr>
                <w:rFonts w:ascii="仿宋" w:hAnsi="仿宋" w:eastAsia="仿宋" w:cs="仿宋"/>
                <w:sz w:val="24"/>
              </w:rPr>
            </w:pPr>
          </w:p>
        </w:tc>
        <w:tc>
          <w:tcPr>
            <w:tcW w:w="4035" w:type="dxa"/>
            <w:noWrap/>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4" w:type="dxa"/>
            <w:vMerge w:val="restart"/>
            <w:noWrap/>
            <w:vAlign w:val="center"/>
          </w:tcPr>
          <w:p>
            <w:pPr>
              <w:widowControl/>
              <w:jc w:val="center"/>
              <w:textAlignment w:val="center"/>
              <w:rPr>
                <w:rFonts w:ascii="仿宋" w:hAnsi="仿宋" w:eastAsia="仿宋" w:cs="仿宋"/>
                <w:sz w:val="24"/>
              </w:rPr>
            </w:pPr>
            <w:r>
              <w:rPr>
                <w:rFonts w:hint="eastAsia" w:ascii="仿宋" w:hAnsi="仿宋" w:eastAsia="仿宋" w:cs="仿宋"/>
                <w:b/>
                <w:color w:val="000000"/>
                <w:kern w:val="0"/>
                <w:sz w:val="24"/>
              </w:rPr>
              <w:t>律师团队</w:t>
            </w:r>
          </w:p>
        </w:tc>
        <w:tc>
          <w:tcPr>
            <w:tcW w:w="969" w:type="dxa"/>
            <w:noWrap/>
            <w:vAlign w:val="center"/>
          </w:tcPr>
          <w:p>
            <w:pPr>
              <w:widowControl/>
              <w:jc w:val="center"/>
              <w:textAlignment w:val="center"/>
              <w:rPr>
                <w:rFonts w:ascii="仿宋" w:hAnsi="仿宋" w:eastAsia="仿宋" w:cs="仿宋"/>
                <w:sz w:val="24"/>
              </w:rPr>
            </w:pPr>
            <w:r>
              <w:rPr>
                <w:rFonts w:hint="eastAsia" w:ascii="仿宋" w:hAnsi="仿宋" w:eastAsia="仿宋" w:cs="仿宋"/>
                <w:b/>
                <w:color w:val="000000"/>
                <w:kern w:val="0"/>
                <w:sz w:val="24"/>
              </w:rPr>
              <w:t>总成员（人）</w:t>
            </w:r>
          </w:p>
        </w:tc>
        <w:tc>
          <w:tcPr>
            <w:tcW w:w="1276" w:type="dxa"/>
            <w:noWrap/>
            <w:vAlign w:val="center"/>
          </w:tcPr>
          <w:p>
            <w:pPr>
              <w:widowControl/>
              <w:jc w:val="center"/>
              <w:textAlignment w:val="center"/>
              <w:rPr>
                <w:rFonts w:ascii="仿宋" w:hAnsi="仿宋" w:eastAsia="仿宋" w:cs="仿宋"/>
                <w:sz w:val="24"/>
              </w:rPr>
            </w:pPr>
            <w:r>
              <w:rPr>
                <w:rFonts w:hint="eastAsia" w:ascii="仿宋" w:hAnsi="仿宋" w:eastAsia="仿宋" w:cs="仿宋"/>
                <w:b/>
                <w:color w:val="000000"/>
                <w:kern w:val="0"/>
                <w:sz w:val="24"/>
              </w:rPr>
              <w:t>其中：10年以上执业经验</w:t>
            </w:r>
          </w:p>
        </w:tc>
        <w:tc>
          <w:tcPr>
            <w:tcW w:w="4895" w:type="dxa"/>
            <w:gridSpan w:val="2"/>
            <w:noWrap/>
            <w:vAlign w:val="center"/>
          </w:tcPr>
          <w:p>
            <w:pPr>
              <w:widowControl/>
              <w:jc w:val="center"/>
              <w:textAlignment w:val="center"/>
              <w:rPr>
                <w:rFonts w:ascii="仿宋" w:hAnsi="仿宋" w:eastAsia="仿宋" w:cs="仿宋"/>
                <w:sz w:val="24"/>
              </w:rPr>
            </w:pPr>
            <w:r>
              <w:rPr>
                <w:rFonts w:hint="eastAsia" w:ascii="仿宋" w:hAnsi="仿宋" w:eastAsia="仿宋" w:cs="仿宋"/>
                <w:b/>
                <w:color w:val="000000"/>
                <w:kern w:val="0"/>
                <w:sz w:val="24"/>
              </w:rPr>
              <w:t>获得荣誉（近三年）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trPr>
        <w:tc>
          <w:tcPr>
            <w:tcW w:w="1974" w:type="dxa"/>
            <w:vMerge w:val="continue"/>
            <w:noWrap/>
            <w:vAlign w:val="center"/>
          </w:tcPr>
          <w:p>
            <w:pPr>
              <w:jc w:val="center"/>
              <w:rPr>
                <w:rFonts w:ascii="仿宋" w:hAnsi="仿宋" w:eastAsia="仿宋" w:cs="仿宋"/>
                <w:sz w:val="24"/>
              </w:rPr>
            </w:pPr>
          </w:p>
        </w:tc>
        <w:tc>
          <w:tcPr>
            <w:tcW w:w="969" w:type="dxa"/>
            <w:noWrap/>
            <w:vAlign w:val="center"/>
          </w:tcPr>
          <w:p>
            <w:pPr>
              <w:jc w:val="center"/>
              <w:rPr>
                <w:rFonts w:ascii="仿宋" w:hAnsi="仿宋" w:eastAsia="仿宋" w:cs="仿宋"/>
                <w:sz w:val="24"/>
              </w:rPr>
            </w:pPr>
          </w:p>
        </w:tc>
        <w:tc>
          <w:tcPr>
            <w:tcW w:w="1276" w:type="dxa"/>
            <w:noWrap/>
            <w:vAlign w:val="center"/>
          </w:tcPr>
          <w:p>
            <w:pPr>
              <w:jc w:val="center"/>
              <w:rPr>
                <w:rFonts w:ascii="仿宋" w:hAnsi="仿宋" w:eastAsia="仿宋" w:cs="仿宋"/>
                <w:sz w:val="24"/>
              </w:rPr>
            </w:pPr>
          </w:p>
        </w:tc>
        <w:tc>
          <w:tcPr>
            <w:tcW w:w="4895" w:type="dxa"/>
            <w:gridSpan w:val="2"/>
            <w:noWrap/>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114" w:type="dxa"/>
            <w:gridSpan w:val="5"/>
            <w:noWrap/>
            <w:vAlign w:val="center"/>
          </w:tcPr>
          <w:p>
            <w:pPr>
              <w:widowControl/>
              <w:jc w:val="center"/>
              <w:textAlignment w:val="center"/>
              <w:rPr>
                <w:rFonts w:ascii="仿宋" w:hAnsi="仿宋" w:eastAsia="仿宋" w:cs="仿宋"/>
                <w:sz w:val="24"/>
              </w:rPr>
            </w:pPr>
            <w:r>
              <w:rPr>
                <w:rFonts w:hint="eastAsia" w:ascii="仿宋" w:hAnsi="仿宋" w:eastAsia="仿宋" w:cs="仿宋"/>
                <w:b/>
                <w:color w:val="000000"/>
                <w:kern w:val="0"/>
                <w:sz w:val="24"/>
              </w:rPr>
              <w:t>律所、律师是否未受过司法行政部门的行政处罚或者律师协会的行业处分（近三年）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9114" w:type="dxa"/>
            <w:gridSpan w:val="5"/>
            <w:noWrap/>
            <w:vAlign w:val="center"/>
          </w:tcPr>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114" w:type="dxa"/>
            <w:gridSpan w:val="5"/>
            <w:noWrap/>
            <w:vAlign w:val="center"/>
          </w:tcPr>
          <w:p>
            <w:pPr>
              <w:jc w:val="center"/>
              <w:rPr>
                <w:rFonts w:ascii="仿宋" w:hAnsi="仿宋" w:eastAsia="仿宋" w:cs="仿宋"/>
                <w:b/>
                <w:bCs/>
                <w:sz w:val="24"/>
              </w:rPr>
            </w:pPr>
            <w:r>
              <w:rPr>
                <w:rFonts w:hint="eastAsia" w:ascii="仿宋" w:hAnsi="仿宋" w:eastAsia="仿宋" w:cs="仿宋"/>
                <w:b/>
                <w:bCs/>
                <w:sz w:val="24"/>
              </w:rPr>
              <w:t>服务优势（简要说明）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9" w:hRule="atLeast"/>
        </w:trPr>
        <w:tc>
          <w:tcPr>
            <w:tcW w:w="9114" w:type="dxa"/>
            <w:gridSpan w:val="5"/>
            <w:noWrap/>
            <w:vAlign w:val="center"/>
          </w:tcPr>
          <w:p>
            <w:pPr>
              <w:jc w:val="center"/>
              <w:rPr>
                <w:rFonts w:ascii="仿宋" w:hAnsi="仿宋" w:eastAsia="仿宋" w:cs="仿宋"/>
                <w:b/>
                <w:bCs/>
                <w:sz w:val="24"/>
              </w:rPr>
            </w:pPr>
          </w:p>
          <w:p>
            <w:pPr>
              <w:jc w:val="center"/>
              <w:rPr>
                <w:rFonts w:ascii="仿宋" w:hAnsi="仿宋" w:eastAsia="仿宋" w:cs="仿宋"/>
                <w:b/>
                <w:bCs/>
                <w:sz w:val="24"/>
              </w:rPr>
            </w:pPr>
          </w:p>
          <w:p>
            <w:pPr>
              <w:jc w:val="center"/>
              <w:rPr>
                <w:rFonts w:ascii="仿宋" w:hAnsi="仿宋" w:eastAsia="仿宋" w:cs="仿宋"/>
                <w:b/>
                <w:bCs/>
                <w:sz w:val="24"/>
              </w:rPr>
            </w:pPr>
          </w:p>
          <w:p>
            <w:pPr>
              <w:jc w:val="center"/>
              <w:rPr>
                <w:rFonts w:ascii="仿宋" w:hAnsi="仿宋" w:eastAsia="仿宋" w:cs="仿宋"/>
                <w:b/>
                <w:bCs/>
                <w:sz w:val="24"/>
              </w:rPr>
            </w:pPr>
          </w:p>
          <w:p>
            <w:pPr>
              <w:jc w:val="center"/>
              <w:rPr>
                <w:rFonts w:ascii="仿宋" w:hAnsi="仿宋" w:eastAsia="仿宋" w:cs="仿宋"/>
                <w:b/>
                <w:bCs/>
                <w:sz w:val="24"/>
              </w:rPr>
            </w:pPr>
          </w:p>
          <w:p>
            <w:pPr>
              <w:jc w:val="center"/>
              <w:rPr>
                <w:rFonts w:ascii="仿宋" w:hAnsi="仿宋" w:eastAsia="仿宋" w:cs="仿宋"/>
                <w:b/>
                <w:bCs/>
                <w:sz w:val="24"/>
              </w:rPr>
            </w:pPr>
          </w:p>
          <w:p>
            <w:pPr>
              <w:jc w:val="center"/>
              <w:rPr>
                <w:rFonts w:ascii="仿宋" w:hAnsi="仿宋" w:eastAsia="仿宋" w:cs="仿宋"/>
                <w:b/>
                <w:bCs/>
                <w:sz w:val="24"/>
              </w:rPr>
            </w:pPr>
          </w:p>
          <w:p>
            <w:pPr>
              <w:jc w:val="center"/>
              <w:rPr>
                <w:rFonts w:ascii="仿宋" w:hAnsi="仿宋" w:eastAsia="仿宋" w:cs="仿宋"/>
                <w:b/>
                <w:bCs/>
                <w:sz w:val="24"/>
              </w:rPr>
            </w:pPr>
          </w:p>
          <w:p>
            <w:pPr>
              <w:jc w:val="center"/>
              <w:rPr>
                <w:rFonts w:ascii="仿宋" w:hAnsi="仿宋" w:eastAsia="仿宋" w:cs="仿宋"/>
                <w:b/>
                <w:bCs/>
                <w:sz w:val="24"/>
              </w:rPr>
            </w:pPr>
          </w:p>
          <w:p>
            <w:pPr>
              <w:jc w:val="center"/>
              <w:rPr>
                <w:rFonts w:ascii="仿宋" w:hAnsi="仿宋" w:eastAsia="仿宋" w:cs="仿宋"/>
                <w:b/>
                <w:bCs/>
                <w:sz w:val="24"/>
              </w:rPr>
            </w:pPr>
          </w:p>
          <w:p>
            <w:pPr>
              <w:jc w:val="center"/>
              <w:rPr>
                <w:rFonts w:ascii="仿宋" w:hAnsi="仿宋" w:eastAsia="仿宋" w:cs="仿宋"/>
                <w:sz w:val="24"/>
              </w:rPr>
            </w:pPr>
            <w:r>
              <w:rPr>
                <w:rFonts w:hint="eastAsia" w:ascii="仿宋" w:hAnsi="仿宋" w:eastAsia="仿宋" w:cs="仿宋"/>
                <w:b/>
                <w:bCs/>
                <w:sz w:val="24"/>
              </w:rPr>
              <w:t>（请在最后注明联系人和联系电话、地址）</w:t>
            </w:r>
          </w:p>
        </w:tc>
      </w:tr>
    </w:tbl>
    <w:p>
      <w:pPr>
        <w:pStyle w:val="8"/>
        <w:spacing w:before="0" w:beforeAutospacing="0" w:after="0" w:afterAutospacing="0" w:line="560" w:lineRule="exact"/>
        <w:jc w:val="both"/>
        <w:rPr>
          <w:rFonts w:ascii="楷体_GB2312" w:hAnsi="仿宋" w:eastAsia="楷体_GB2312"/>
          <w:b/>
          <w:sz w:val="32"/>
          <w:szCs w:val="32"/>
        </w:rPr>
      </w:pPr>
    </w:p>
    <w:p>
      <w:pPr>
        <w:pStyle w:val="8"/>
        <w:spacing w:before="0" w:beforeAutospacing="0" w:after="0" w:afterAutospacing="0" w:line="560" w:lineRule="exact"/>
        <w:jc w:val="both"/>
        <w:rPr>
          <w:rFonts w:ascii="汉仪中宋简" w:hAnsi="Calibri" w:eastAsia="楷体_GB2312" w:cs="Calibri"/>
          <w:b/>
          <w:bCs/>
          <w:color w:val="333333"/>
          <w:sz w:val="40"/>
          <w:szCs w:val="40"/>
        </w:rPr>
      </w:pPr>
      <w:r>
        <w:rPr>
          <w:rFonts w:hint="eastAsia" w:ascii="楷体_GB2312" w:hAnsi="仿宋" w:eastAsia="楷体_GB2312"/>
          <w:b/>
          <w:sz w:val="32"/>
          <w:szCs w:val="32"/>
        </w:rPr>
        <w:t>附件二：</w:t>
      </w:r>
    </w:p>
    <w:p>
      <w:pPr>
        <w:pStyle w:val="8"/>
        <w:spacing w:before="0" w:beforeAutospacing="0" w:after="0" w:afterAutospacing="0" w:line="560" w:lineRule="exact"/>
        <w:jc w:val="center"/>
        <w:rPr>
          <w:rFonts w:ascii="Calibri" w:hAnsi="Calibri" w:eastAsia="汉仪中宋简" w:cs="Calibri"/>
          <w:color w:val="333333"/>
          <w:sz w:val="21"/>
          <w:szCs w:val="21"/>
        </w:rPr>
      </w:pPr>
      <w:r>
        <w:rPr>
          <w:rFonts w:hint="eastAsia" w:ascii="汉仪中宋简" w:hAnsi="Calibri" w:eastAsia="汉仪中宋简" w:cs="Calibri"/>
          <w:b/>
          <w:bCs/>
          <w:color w:val="333333"/>
          <w:sz w:val="40"/>
          <w:szCs w:val="40"/>
        </w:rPr>
        <w:t xml:space="preserve"> 外聘常年法律顾问服务合同（</w:t>
      </w:r>
      <w:r>
        <w:rPr>
          <w:rFonts w:ascii="汉仪中宋简" w:hAnsi="Calibri" w:cs="Calibri"/>
          <w:b/>
          <w:bCs/>
          <w:color w:val="333333"/>
          <w:sz w:val="40"/>
          <w:szCs w:val="40"/>
        </w:rPr>
        <w:t>示</w:t>
      </w:r>
      <w:r>
        <w:rPr>
          <w:rFonts w:hint="eastAsia" w:ascii="汉仪中宋简" w:hAnsi="Calibri" w:eastAsia="汉仪中宋简" w:cs="Calibri"/>
          <w:b/>
          <w:bCs/>
          <w:color w:val="333333"/>
          <w:sz w:val="40"/>
          <w:szCs w:val="40"/>
        </w:rPr>
        <w:t>范</w:t>
      </w:r>
      <w:r>
        <w:rPr>
          <w:rFonts w:ascii="汉仪中宋简" w:hAnsi="Calibri" w:cs="Calibri"/>
          <w:b/>
          <w:bCs/>
          <w:color w:val="333333"/>
          <w:sz w:val="40"/>
          <w:szCs w:val="40"/>
        </w:rPr>
        <w:t>文</w:t>
      </w:r>
      <w:r>
        <w:rPr>
          <w:rFonts w:hint="eastAsia" w:ascii="汉仪中宋简" w:hAnsi="Calibri" w:eastAsia="汉仪中宋简" w:cs="Calibri"/>
          <w:b/>
          <w:bCs/>
          <w:color w:val="333333"/>
          <w:sz w:val="40"/>
          <w:szCs w:val="40"/>
        </w:rPr>
        <w:t>本）</w:t>
      </w:r>
    </w:p>
    <w:p>
      <w:pPr>
        <w:spacing w:line="560" w:lineRule="exact"/>
        <w:ind w:right="560" w:firstLine="6720" w:firstLineChars="2100"/>
        <w:rPr>
          <w:rFonts w:ascii="仿宋_GB2312" w:hAnsi="仿宋_GB2312" w:eastAsia="仿宋_GB2312" w:cs="仿宋_GB2312"/>
          <w:sz w:val="28"/>
          <w:szCs w:val="28"/>
        </w:rPr>
      </w:pPr>
      <w:r>
        <w:rPr>
          <w:rFonts w:cs="Calibri"/>
          <w:color w:val="333333"/>
          <w:sz w:val="32"/>
          <w:szCs w:val="32"/>
        </w:rPr>
        <w:t> </w:t>
      </w:r>
      <w:r>
        <w:rPr>
          <w:rFonts w:hint="eastAsia" w:cs="Calibri"/>
          <w:color w:val="333333"/>
          <w:sz w:val="32"/>
          <w:szCs w:val="32"/>
        </w:rPr>
        <w:t xml:space="preserve">                                         </w:t>
      </w:r>
      <w:r>
        <w:rPr>
          <w:rFonts w:ascii="仿宋_GB2312" w:hAnsi="仿宋_GB2312" w:eastAsia="仿宋_GB2312" w:cs="仿宋_GB2312"/>
          <w:sz w:val="28"/>
          <w:szCs w:val="28"/>
        </w:rPr>
        <w:t>合同编号：</w:t>
      </w:r>
    </w:p>
    <w:p>
      <w:pPr>
        <w:spacing w:line="560" w:lineRule="exact"/>
        <w:ind w:right="560" w:firstLine="5880" w:firstLineChars="2100"/>
        <w:rPr>
          <w:rFonts w:ascii="仿宋_GB2312" w:hAnsi="仿宋_GB2312" w:eastAsia="仿宋_GB2312" w:cs="仿宋_GB2312"/>
          <w:sz w:val="28"/>
          <w:szCs w:val="28"/>
        </w:rPr>
      </w:pPr>
      <w:r>
        <w:rPr>
          <w:rFonts w:hint="eastAsia" w:ascii="仿宋_GB2312" w:hAnsi="仿宋_GB2312" w:eastAsia="仿宋_GB2312" w:cs="仿宋_GB2312"/>
          <w:sz w:val="28"/>
          <w:szCs w:val="28"/>
        </w:rPr>
        <w:t>签订地点：</w:t>
      </w:r>
    </w:p>
    <w:p>
      <w:pPr>
        <w:pStyle w:val="8"/>
        <w:spacing w:before="0" w:beforeAutospacing="0" w:after="0" w:afterAutospacing="0" w:line="560" w:lineRule="exact"/>
        <w:jc w:val="both"/>
        <w:rPr>
          <w:rFonts w:ascii="Calibri" w:hAnsi="Calibri" w:cs="Calibri"/>
          <w:b/>
          <w:color w:val="333333"/>
          <w:sz w:val="21"/>
          <w:szCs w:val="21"/>
        </w:rPr>
      </w:pPr>
      <w:r>
        <w:rPr>
          <w:rFonts w:hint="eastAsia" w:ascii="仿宋" w:hAnsi="仿宋" w:eastAsia="仿宋" w:cs="Calibri"/>
          <w:b/>
          <w:color w:val="333333"/>
          <w:sz w:val="32"/>
          <w:szCs w:val="32"/>
        </w:rPr>
        <w:t>甲方（聘请方）：</w:t>
      </w:r>
    </w:p>
    <w:p>
      <w:pPr>
        <w:pStyle w:val="8"/>
        <w:spacing w:before="0" w:beforeAutospacing="0" w:after="0" w:afterAutospacing="0" w:line="560" w:lineRule="exact"/>
        <w:jc w:val="both"/>
        <w:rPr>
          <w:rFonts w:ascii="仿宋" w:hAnsi="仿宋" w:eastAsia="仿宋" w:cs="Calibri"/>
          <w:b/>
          <w:color w:val="333333"/>
          <w:sz w:val="32"/>
          <w:szCs w:val="32"/>
        </w:rPr>
      </w:pPr>
      <w:r>
        <w:rPr>
          <w:rFonts w:hint="eastAsia" w:ascii="仿宋" w:hAnsi="仿宋" w:eastAsia="仿宋" w:cs="Calibri"/>
          <w:b/>
          <w:color w:val="333333"/>
          <w:sz w:val="32"/>
          <w:szCs w:val="32"/>
        </w:rPr>
        <w:t>统一社会信用代码：</w:t>
      </w:r>
    </w:p>
    <w:p>
      <w:pPr>
        <w:pStyle w:val="8"/>
        <w:spacing w:before="0" w:beforeAutospacing="0" w:after="0" w:afterAutospacing="0" w:line="560" w:lineRule="exact"/>
        <w:jc w:val="both"/>
        <w:rPr>
          <w:rFonts w:ascii="Calibri" w:hAnsi="Calibri" w:cs="Calibri"/>
          <w:b/>
          <w:color w:val="333333"/>
          <w:sz w:val="21"/>
          <w:szCs w:val="21"/>
        </w:rPr>
      </w:pPr>
      <w:r>
        <w:rPr>
          <w:rFonts w:hint="eastAsia" w:ascii="仿宋" w:hAnsi="仿宋" w:eastAsia="仿宋" w:cs="Calibri"/>
          <w:b/>
          <w:color w:val="333333"/>
          <w:sz w:val="32"/>
          <w:szCs w:val="32"/>
        </w:rPr>
        <w:t>法定代表人：</w:t>
      </w:r>
      <w:r>
        <w:rPr>
          <w:rFonts w:ascii="Calibri" w:hAnsi="Calibri" w:eastAsia="仿宋" w:cs="Calibri"/>
          <w:b/>
          <w:color w:val="333333"/>
          <w:sz w:val="32"/>
          <w:szCs w:val="32"/>
        </w:rPr>
        <w:t>                  </w:t>
      </w:r>
    </w:p>
    <w:p>
      <w:pPr>
        <w:pStyle w:val="8"/>
        <w:spacing w:before="0" w:beforeAutospacing="0" w:after="0" w:afterAutospacing="0" w:line="560" w:lineRule="exact"/>
        <w:jc w:val="both"/>
        <w:rPr>
          <w:rFonts w:ascii="Calibri" w:hAnsi="Calibri" w:cs="Calibri"/>
          <w:b/>
          <w:color w:val="333333"/>
          <w:sz w:val="21"/>
          <w:szCs w:val="21"/>
        </w:rPr>
      </w:pPr>
      <w:r>
        <w:rPr>
          <w:rFonts w:hint="eastAsia" w:ascii="仿宋" w:hAnsi="仿宋" w:eastAsia="仿宋" w:cs="Calibri"/>
          <w:b/>
          <w:color w:val="333333"/>
          <w:sz w:val="32"/>
          <w:szCs w:val="32"/>
        </w:rPr>
        <w:t>住所：</w:t>
      </w:r>
    </w:p>
    <w:p>
      <w:pPr>
        <w:pStyle w:val="8"/>
        <w:spacing w:before="0" w:beforeAutospacing="0" w:after="0" w:afterAutospacing="0" w:line="560" w:lineRule="exact"/>
        <w:jc w:val="both"/>
        <w:rPr>
          <w:rFonts w:ascii="Calibri" w:hAnsi="Calibri" w:cs="Calibri"/>
          <w:color w:val="333333"/>
          <w:sz w:val="21"/>
          <w:szCs w:val="21"/>
        </w:rPr>
      </w:pPr>
      <w:r>
        <w:rPr>
          <w:rFonts w:hint="eastAsia" w:ascii="仿宋" w:hAnsi="仿宋" w:eastAsia="仿宋" w:cs="Calibri"/>
          <w:b/>
          <w:color w:val="333333"/>
          <w:sz w:val="32"/>
          <w:szCs w:val="32"/>
        </w:rPr>
        <w:t>联系方式</w:t>
      </w:r>
      <w:r>
        <w:rPr>
          <w:rFonts w:hint="eastAsia" w:ascii="仿宋" w:hAnsi="仿宋" w:eastAsia="仿宋" w:cs="Calibri"/>
          <w:color w:val="333333"/>
          <w:sz w:val="32"/>
          <w:szCs w:val="32"/>
        </w:rPr>
        <w:t>：</w:t>
      </w:r>
    </w:p>
    <w:p>
      <w:pPr>
        <w:pStyle w:val="8"/>
        <w:spacing w:before="0" w:beforeAutospacing="0" w:after="0" w:afterAutospacing="0" w:line="560" w:lineRule="exact"/>
        <w:jc w:val="both"/>
        <w:rPr>
          <w:rFonts w:ascii="Calibri" w:hAnsi="Calibri" w:cs="Calibri"/>
          <w:color w:val="333333"/>
          <w:sz w:val="21"/>
          <w:szCs w:val="21"/>
        </w:rPr>
      </w:pPr>
      <w:r>
        <w:rPr>
          <w:rFonts w:ascii="Calibri" w:hAnsi="Calibri" w:eastAsia="仿宋" w:cs="Calibri"/>
          <w:color w:val="333333"/>
          <w:sz w:val="32"/>
          <w:szCs w:val="32"/>
        </w:rPr>
        <w:t> </w:t>
      </w:r>
    </w:p>
    <w:p>
      <w:pPr>
        <w:pStyle w:val="8"/>
        <w:spacing w:before="0" w:beforeAutospacing="0" w:after="0" w:afterAutospacing="0" w:line="560" w:lineRule="exact"/>
        <w:jc w:val="both"/>
        <w:rPr>
          <w:rFonts w:ascii="Calibri" w:hAnsi="Calibri" w:cs="Calibri"/>
          <w:b/>
          <w:color w:val="333333"/>
          <w:sz w:val="21"/>
          <w:szCs w:val="21"/>
        </w:rPr>
      </w:pPr>
      <w:r>
        <w:rPr>
          <w:rFonts w:hint="eastAsia" w:ascii="仿宋" w:hAnsi="仿宋" w:eastAsia="仿宋" w:cs="Calibri"/>
          <w:b/>
          <w:color w:val="333333"/>
          <w:sz w:val="32"/>
          <w:szCs w:val="32"/>
        </w:rPr>
        <w:t>乙方（受聘方）：</w:t>
      </w:r>
      <w:r>
        <w:rPr>
          <w:rFonts w:ascii="Calibri" w:hAnsi="Calibri" w:eastAsia="仿宋" w:cs="Calibri"/>
          <w:b/>
          <w:color w:val="333333"/>
          <w:sz w:val="32"/>
          <w:szCs w:val="32"/>
        </w:rPr>
        <w:t>                       </w:t>
      </w:r>
      <w:r>
        <w:rPr>
          <w:rFonts w:hint="eastAsia" w:ascii="仿宋" w:hAnsi="仿宋" w:eastAsia="仿宋" w:cs="Calibri"/>
          <w:color w:val="333333"/>
          <w:sz w:val="32"/>
          <w:szCs w:val="32"/>
        </w:rPr>
        <w:t>律师事务所</w:t>
      </w:r>
    </w:p>
    <w:p>
      <w:pPr>
        <w:pStyle w:val="8"/>
        <w:spacing w:before="0" w:beforeAutospacing="0" w:after="0" w:afterAutospacing="0" w:line="560" w:lineRule="exact"/>
        <w:jc w:val="both"/>
        <w:rPr>
          <w:rFonts w:ascii="仿宋" w:hAnsi="仿宋" w:eastAsia="仿宋" w:cs="Calibri"/>
          <w:b/>
          <w:color w:val="333333"/>
          <w:sz w:val="32"/>
          <w:szCs w:val="32"/>
        </w:rPr>
      </w:pPr>
      <w:r>
        <w:rPr>
          <w:rFonts w:hint="eastAsia" w:ascii="仿宋" w:hAnsi="仿宋" w:eastAsia="仿宋" w:cs="Calibri"/>
          <w:b/>
          <w:color w:val="333333"/>
          <w:sz w:val="32"/>
          <w:szCs w:val="32"/>
        </w:rPr>
        <w:t>统一社会信用代码：</w:t>
      </w:r>
    </w:p>
    <w:p>
      <w:pPr>
        <w:pStyle w:val="8"/>
        <w:spacing w:before="0" w:beforeAutospacing="0" w:after="0" w:afterAutospacing="0" w:line="560" w:lineRule="exact"/>
        <w:jc w:val="both"/>
        <w:rPr>
          <w:rFonts w:ascii="Calibri" w:hAnsi="Calibri" w:cs="Calibri"/>
          <w:b/>
          <w:color w:val="333333"/>
          <w:sz w:val="21"/>
          <w:szCs w:val="21"/>
        </w:rPr>
      </w:pPr>
      <w:r>
        <w:rPr>
          <w:rFonts w:hint="eastAsia" w:ascii="仿宋" w:hAnsi="仿宋" w:eastAsia="仿宋" w:cs="Calibri"/>
          <w:b/>
          <w:color w:val="333333"/>
          <w:sz w:val="32"/>
          <w:szCs w:val="32"/>
        </w:rPr>
        <w:t>负责人：</w:t>
      </w:r>
      <w:r>
        <w:rPr>
          <w:rFonts w:ascii="Calibri" w:hAnsi="Calibri" w:eastAsia="仿宋" w:cs="Calibri"/>
          <w:b/>
          <w:color w:val="333333"/>
          <w:sz w:val="32"/>
          <w:szCs w:val="32"/>
        </w:rPr>
        <w:t>                      </w:t>
      </w:r>
    </w:p>
    <w:p>
      <w:pPr>
        <w:pStyle w:val="8"/>
        <w:spacing w:before="0" w:beforeAutospacing="0" w:after="0" w:afterAutospacing="0" w:line="560" w:lineRule="exact"/>
        <w:jc w:val="both"/>
        <w:rPr>
          <w:rFonts w:ascii="Calibri" w:hAnsi="Calibri" w:cs="Calibri"/>
          <w:b/>
          <w:color w:val="333333"/>
          <w:sz w:val="21"/>
          <w:szCs w:val="21"/>
        </w:rPr>
      </w:pPr>
      <w:r>
        <w:rPr>
          <w:rFonts w:hint="eastAsia" w:ascii="仿宋" w:hAnsi="仿宋" w:eastAsia="仿宋" w:cs="Calibri"/>
          <w:b/>
          <w:color w:val="333333"/>
          <w:sz w:val="32"/>
          <w:szCs w:val="32"/>
        </w:rPr>
        <w:t>住所：</w:t>
      </w:r>
    </w:p>
    <w:p>
      <w:pPr>
        <w:pStyle w:val="8"/>
        <w:spacing w:before="0" w:beforeAutospacing="0" w:after="0" w:afterAutospacing="0" w:line="560" w:lineRule="exact"/>
        <w:jc w:val="both"/>
        <w:rPr>
          <w:rFonts w:ascii="Calibri" w:hAnsi="Calibri" w:cs="Calibri"/>
          <w:color w:val="333333"/>
          <w:sz w:val="21"/>
          <w:szCs w:val="21"/>
        </w:rPr>
      </w:pPr>
      <w:r>
        <w:rPr>
          <w:rFonts w:hint="eastAsia" w:ascii="仿宋" w:hAnsi="仿宋" w:eastAsia="仿宋" w:cs="Calibri"/>
          <w:b/>
          <w:color w:val="333333"/>
          <w:sz w:val="32"/>
          <w:szCs w:val="32"/>
        </w:rPr>
        <w:t>联系方式</w:t>
      </w:r>
      <w:r>
        <w:rPr>
          <w:rFonts w:hint="eastAsia" w:ascii="仿宋" w:hAnsi="仿宋" w:eastAsia="仿宋" w:cs="Calibri"/>
          <w:color w:val="333333"/>
          <w:sz w:val="32"/>
          <w:szCs w:val="32"/>
        </w:rPr>
        <w:t>：</w:t>
      </w:r>
    </w:p>
    <w:p>
      <w:pPr>
        <w:pStyle w:val="8"/>
        <w:spacing w:before="0" w:beforeAutospacing="0" w:after="0" w:afterAutospacing="0" w:line="560" w:lineRule="exact"/>
        <w:jc w:val="both"/>
        <w:rPr>
          <w:rFonts w:ascii="Calibri" w:hAnsi="Calibri" w:cs="Calibri"/>
          <w:color w:val="333333"/>
          <w:sz w:val="21"/>
          <w:szCs w:val="21"/>
        </w:rPr>
      </w:pPr>
      <w:r>
        <w:rPr>
          <w:rFonts w:ascii="Calibri" w:hAnsi="Calibri" w:eastAsia="仿宋" w:cs="Calibri"/>
          <w:color w:val="333333"/>
          <w:sz w:val="32"/>
          <w:szCs w:val="32"/>
        </w:rPr>
        <w:t> </w:t>
      </w:r>
    </w:p>
    <w:p>
      <w:pPr>
        <w:pStyle w:val="8"/>
        <w:spacing w:before="0" w:beforeAutospacing="0" w:after="0" w:afterAutospacing="0" w:line="560" w:lineRule="exact"/>
        <w:ind w:firstLine="640"/>
        <w:jc w:val="both"/>
        <w:rPr>
          <w:rFonts w:ascii="Calibri" w:hAnsi="Calibri" w:cs="Calibri"/>
          <w:color w:val="333333"/>
          <w:sz w:val="21"/>
          <w:szCs w:val="21"/>
        </w:rPr>
      </w:pPr>
      <w:r>
        <w:rPr>
          <w:rFonts w:hint="eastAsia" w:ascii="仿宋" w:hAnsi="仿宋" w:eastAsia="仿宋" w:cs="Calibri"/>
          <w:color w:val="333333"/>
          <w:sz w:val="32"/>
          <w:szCs w:val="32"/>
        </w:rPr>
        <w:t>为全面推进依法治企，进一步发挥外聘法律顾问在企业治理和经营管理等重大事项中的法律审核把关作用，推进企业依法治理、依法合规经营、依法规范管理，根据《中华人民共和国民法典》《中华人民共和国律师法》有关规定，甲乙双方就甲方聘请乙方律师担任法律顾问等相关事宜，按照平等自愿、诚实信用原则，经协商一致，订立本合同，供双方共同遵守。</w:t>
      </w:r>
    </w:p>
    <w:p>
      <w:pPr>
        <w:pStyle w:val="8"/>
        <w:spacing w:before="0" w:beforeAutospacing="0" w:after="0" w:afterAutospacing="0" w:line="560" w:lineRule="exact"/>
        <w:ind w:firstLine="640"/>
        <w:jc w:val="both"/>
        <w:rPr>
          <w:rFonts w:ascii="仿宋" w:hAnsi="仿宋" w:eastAsia="仿宋" w:cs="Calibri"/>
          <w:color w:val="333333"/>
          <w:sz w:val="32"/>
          <w:szCs w:val="32"/>
        </w:rPr>
      </w:pPr>
      <w:r>
        <w:rPr>
          <w:rFonts w:hint="eastAsia" w:ascii="黑体" w:hAnsi="黑体" w:eastAsia="黑体" w:cs="Calibri"/>
          <w:b/>
          <w:bCs/>
          <w:color w:val="333333"/>
          <w:sz w:val="32"/>
          <w:szCs w:val="32"/>
        </w:rPr>
        <w:t>第一条</w:t>
      </w:r>
      <w:r>
        <w:rPr>
          <w:rFonts w:ascii="Calibri" w:hAnsi="Calibri" w:eastAsia="仿宋" w:cs="Calibri"/>
          <w:color w:val="333333"/>
          <w:sz w:val="32"/>
          <w:szCs w:val="32"/>
        </w:rPr>
        <w:t>  </w:t>
      </w:r>
      <w:r>
        <w:rPr>
          <w:rFonts w:hint="eastAsia" w:ascii="仿宋" w:hAnsi="仿宋" w:eastAsia="仿宋" w:cs="Calibri"/>
          <w:color w:val="333333"/>
          <w:sz w:val="32"/>
          <w:szCs w:val="32"/>
        </w:rPr>
        <w:t>乙方接受甲方聘请，指派</w:t>
      </w:r>
      <w:r>
        <w:rPr>
          <w:rFonts w:hint="eastAsia" w:ascii="仿宋" w:hAnsi="仿宋" w:eastAsia="仿宋" w:cs="Calibri"/>
          <w:color w:val="333333"/>
          <w:sz w:val="32"/>
          <w:szCs w:val="32"/>
          <w:u w:val="single"/>
        </w:rPr>
        <w:t xml:space="preserve">         </w:t>
      </w:r>
      <w:r>
        <w:rPr>
          <w:rFonts w:hint="eastAsia" w:ascii="仿宋" w:hAnsi="仿宋" w:eastAsia="仿宋" w:cs="Calibri"/>
          <w:color w:val="333333"/>
          <w:sz w:val="32"/>
          <w:szCs w:val="32"/>
        </w:rPr>
        <w:t>等律师担任甲方的外聘法律顾问（其中指定</w:t>
      </w:r>
      <w:r>
        <w:rPr>
          <w:rFonts w:hint="eastAsia" w:ascii="仿宋" w:hAnsi="仿宋" w:eastAsia="仿宋" w:cs="Calibri"/>
          <w:color w:val="333333"/>
          <w:sz w:val="32"/>
          <w:szCs w:val="32"/>
          <w:u w:val="single"/>
        </w:rPr>
        <w:t xml:space="preserve">      </w:t>
      </w:r>
      <w:r>
        <w:rPr>
          <w:rFonts w:hint="eastAsia" w:ascii="仿宋" w:hAnsi="仿宋" w:eastAsia="仿宋" w:cs="Calibri"/>
          <w:color w:val="333333"/>
          <w:sz w:val="32"/>
          <w:szCs w:val="32"/>
        </w:rPr>
        <w:t>律师为主办律师、指定</w:t>
      </w:r>
      <w:r>
        <w:rPr>
          <w:rFonts w:hint="eastAsia" w:ascii="仿宋" w:hAnsi="仿宋" w:eastAsia="仿宋" w:cs="Calibri"/>
          <w:color w:val="333333"/>
          <w:sz w:val="32"/>
          <w:szCs w:val="32"/>
          <w:u w:val="single"/>
        </w:rPr>
        <w:t xml:space="preserve">      </w:t>
      </w:r>
      <w:r>
        <w:rPr>
          <w:rFonts w:hint="eastAsia" w:ascii="仿宋" w:hAnsi="仿宋" w:eastAsia="仿宋" w:cs="Calibri"/>
          <w:color w:val="333333"/>
          <w:sz w:val="32"/>
          <w:szCs w:val="32"/>
        </w:rPr>
        <w:t>律师为承办律师），并由前述律师根据工作需要组成律师团队，解决甲方法律事务中的专业要求强、工作量大及疑难复杂的问题。</w:t>
      </w:r>
    </w:p>
    <w:p>
      <w:pPr>
        <w:pStyle w:val="8"/>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乙方律师资质需经甲方认可，且若指派律师离职，乙方应及时通知甲方并限期更换律师（重新更换的律师工作能力、资质要求等均不低于原指派律师，并且应取得甲方认可），不得对甲方工作造成影响。</w:t>
      </w:r>
    </w:p>
    <w:p>
      <w:pPr>
        <w:pStyle w:val="8"/>
        <w:spacing w:before="0" w:beforeAutospacing="0" w:after="0" w:afterAutospacing="0" w:line="560" w:lineRule="exact"/>
        <w:ind w:firstLine="643"/>
        <w:jc w:val="both"/>
        <w:rPr>
          <w:rFonts w:ascii="Calibri" w:hAnsi="Calibri" w:cs="Calibri"/>
          <w:color w:val="333333"/>
          <w:sz w:val="21"/>
          <w:szCs w:val="21"/>
        </w:rPr>
      </w:pPr>
      <w:r>
        <w:rPr>
          <w:rFonts w:hint="eastAsia" w:ascii="黑体" w:hAnsi="黑体" w:eastAsia="黑体" w:cs="Calibri"/>
          <w:b/>
          <w:bCs/>
          <w:color w:val="333333"/>
          <w:sz w:val="32"/>
          <w:szCs w:val="32"/>
        </w:rPr>
        <w:t>第二条</w:t>
      </w:r>
      <w:r>
        <w:rPr>
          <w:rFonts w:ascii="Calibri" w:hAnsi="Calibri" w:eastAsia="仿宋" w:cs="Calibri"/>
          <w:color w:val="333333"/>
          <w:sz w:val="32"/>
          <w:szCs w:val="32"/>
        </w:rPr>
        <w:t>  </w:t>
      </w:r>
      <w:r>
        <w:rPr>
          <w:rFonts w:hint="eastAsia" w:ascii="仿宋" w:hAnsi="仿宋" w:eastAsia="仿宋" w:cs="Calibri"/>
          <w:b/>
          <w:bCs/>
          <w:color w:val="333333"/>
          <w:sz w:val="32"/>
          <w:szCs w:val="32"/>
        </w:rPr>
        <w:t>常年法律顾问服务范围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1.为公司日常经营和管理方面涉及的法律问题提供法律咨询、解答；</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2.为公司重大决策、重大项目、重大疑难问题等出具书面法律意见和合理化建议；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3.参与公司重要经济活动的磋商、谈判，进行法律分析和论证，根据需要及时出具书面法律意见；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4.协助公司建立或完善合同管理相关制度，为公司提供常用合同范本，参与公司对外合同及相关法律文书的起草、修改工作，及时提出合同审核意见；</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5.为公司就已经面临或者可能产生的各类纠纷，进行法律论证，提出书面解决方案，并根据需要参与协调或起草、发出律师函；</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6.为公司审查公司章程、公司股东会、董事会、监事会决议、提交给政府部门的法律文件、重大商业往来函件等；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7.参与起草、审核公司重要的规章制度及规范性文件；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8.配合公司开展法制宣传教育和法律培训（每年不少于二次）；</w:t>
      </w:r>
    </w:p>
    <w:p>
      <w:pPr>
        <w:pStyle w:val="2"/>
        <w:ind w:firstLine="640"/>
        <w:rPr>
          <w:rFonts w:ascii="仿宋" w:hAnsi="仿宋" w:eastAsia="仿宋"/>
          <w:sz w:val="32"/>
          <w:szCs w:val="32"/>
        </w:rPr>
      </w:pPr>
      <w:r>
        <w:rPr>
          <w:rFonts w:hint="eastAsia" w:ascii="仿宋" w:hAnsi="仿宋" w:eastAsia="仿宋"/>
          <w:sz w:val="32"/>
          <w:szCs w:val="32"/>
        </w:rPr>
        <w:t>9.与司法机关及相关政府部门保持沟通，为公司创造良好的司法环境；</w:t>
      </w:r>
    </w:p>
    <w:p>
      <w:pPr>
        <w:spacing w:line="560" w:lineRule="exact"/>
        <w:ind w:left="640"/>
        <w:rPr>
          <w:rFonts w:ascii="仿宋" w:hAnsi="仿宋" w:eastAsia="仿宋"/>
          <w:sz w:val="32"/>
          <w:szCs w:val="32"/>
        </w:rPr>
      </w:pPr>
      <w:r>
        <w:rPr>
          <w:rFonts w:hint="eastAsia" w:ascii="仿宋" w:hAnsi="仿宋" w:eastAsia="仿宋"/>
          <w:sz w:val="32"/>
          <w:szCs w:val="32"/>
        </w:rPr>
        <w:t>10.公司交办及依照聘用合同约定的其他法律事务。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上述服务，公司需要律所出具书面律师意见书、合同审核意见等的，乙方一般反馈时间不超过2个工作日，若有特殊事项需加急处理的，公司应当特殊说明；律所不能及时处理的，应当及时说明，或另行安排人员妥善处理。第2-4项法律服务中，如应公司要求需参与磋商、谈判的，应及时指派律师列席参加。</w:t>
      </w:r>
    </w:p>
    <w:p>
      <w:pPr>
        <w:pStyle w:val="2"/>
        <w:ind w:firstLine="643"/>
        <w:rPr>
          <w:rFonts w:ascii="仿宋" w:hAnsi="仿宋" w:eastAsia="仿宋" w:cs="Calibri"/>
          <w:b/>
          <w:bCs/>
          <w:color w:val="333333"/>
          <w:sz w:val="32"/>
          <w:szCs w:val="32"/>
        </w:rPr>
      </w:pPr>
      <w:r>
        <w:rPr>
          <w:rFonts w:hint="eastAsia" w:ascii="黑体" w:hAnsi="黑体" w:eastAsia="黑体" w:cs="Calibri"/>
          <w:b/>
          <w:bCs/>
          <w:color w:val="333333"/>
          <w:kern w:val="0"/>
          <w:sz w:val="32"/>
          <w:szCs w:val="32"/>
        </w:rPr>
        <w:t xml:space="preserve">第三条 </w:t>
      </w:r>
      <w:r>
        <w:rPr>
          <w:rFonts w:hint="eastAsia" w:ascii="仿宋" w:hAnsi="仿宋" w:eastAsia="仿宋" w:cs="Calibri"/>
          <w:b/>
          <w:bCs/>
          <w:color w:val="333333"/>
          <w:sz w:val="32"/>
          <w:szCs w:val="32"/>
        </w:rPr>
        <w:t>常年法律顾问服务对象</w:t>
      </w:r>
    </w:p>
    <w:p>
      <w:pPr>
        <w:pStyle w:val="2"/>
        <w:ind w:firstLine="643"/>
        <w:rPr>
          <w:rFonts w:ascii="仿宋" w:hAnsi="仿宋" w:eastAsia="仿宋" w:cs="Calibri"/>
          <w:b/>
          <w:bCs/>
          <w:color w:val="333333"/>
          <w:sz w:val="32"/>
          <w:szCs w:val="32"/>
          <w:u w:val="single"/>
        </w:rPr>
      </w:pPr>
      <w:r>
        <w:rPr>
          <w:rFonts w:hint="eastAsia" w:ascii="仿宋" w:hAnsi="仿宋" w:eastAsia="仿宋" w:cs="Calibri"/>
          <w:b/>
          <w:bCs/>
          <w:color w:val="333333"/>
          <w:sz w:val="32"/>
          <w:szCs w:val="32"/>
        </w:rPr>
        <w:t>包括甲方本部及其关联企业：</w:t>
      </w:r>
    </w:p>
    <w:p>
      <w:pPr>
        <w:pStyle w:val="2"/>
        <w:ind w:firstLine="0" w:firstLineChars="0"/>
        <w:rPr>
          <w:rFonts w:ascii="仿宋" w:hAnsi="仿宋" w:eastAsia="仿宋" w:cs="Calibri"/>
          <w:b/>
          <w:bCs/>
          <w:color w:val="333333"/>
          <w:sz w:val="32"/>
          <w:szCs w:val="32"/>
          <w:u w:val="single"/>
        </w:rPr>
      </w:pPr>
    </w:p>
    <w:p>
      <w:pPr>
        <w:pStyle w:val="2"/>
        <w:ind w:firstLine="0" w:firstLineChars="0"/>
        <w:rPr>
          <w:rFonts w:ascii="黑体" w:hAnsi="黑体" w:eastAsia="黑体" w:cs="Calibri"/>
          <w:b/>
          <w:bCs/>
          <w:color w:val="333333"/>
          <w:kern w:val="0"/>
          <w:sz w:val="32"/>
          <w:szCs w:val="32"/>
        </w:rPr>
      </w:pPr>
    </w:p>
    <w:p>
      <w:pPr>
        <w:pStyle w:val="8"/>
        <w:spacing w:before="0" w:beforeAutospacing="0" w:after="0" w:afterAutospacing="0" w:line="560" w:lineRule="exact"/>
        <w:ind w:firstLine="643"/>
        <w:jc w:val="both"/>
        <w:rPr>
          <w:rFonts w:ascii="Calibri" w:hAnsi="Calibri" w:cs="Calibri"/>
          <w:color w:val="333333"/>
          <w:sz w:val="21"/>
          <w:szCs w:val="21"/>
        </w:rPr>
      </w:pPr>
      <w:r>
        <w:rPr>
          <w:rFonts w:hint="eastAsia" w:ascii="黑体" w:hAnsi="黑体" w:eastAsia="黑体" w:cs="Calibri"/>
          <w:b/>
          <w:bCs/>
          <w:color w:val="333333"/>
          <w:sz w:val="32"/>
          <w:szCs w:val="32"/>
        </w:rPr>
        <w:t>第四条</w:t>
      </w:r>
      <w:r>
        <w:rPr>
          <w:rFonts w:ascii="Calibri" w:hAnsi="Calibri" w:eastAsia="仿宋" w:cs="Calibri"/>
          <w:color w:val="333333"/>
          <w:sz w:val="32"/>
          <w:szCs w:val="32"/>
        </w:rPr>
        <w:t>  </w:t>
      </w:r>
      <w:r>
        <w:rPr>
          <w:rFonts w:hint="eastAsia" w:ascii="仿宋" w:hAnsi="仿宋" w:eastAsia="仿宋" w:cs="Calibri"/>
          <w:b/>
          <w:bCs/>
          <w:color w:val="333333"/>
          <w:sz w:val="32"/>
          <w:szCs w:val="32"/>
        </w:rPr>
        <w:t>甲方的权利义务</w:t>
      </w:r>
    </w:p>
    <w:p>
      <w:pPr>
        <w:pStyle w:val="8"/>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1.甲方有权要求乙方指派律师报告委托事项或工作进程，提交阶段性法律顾问工作报告；</w:t>
      </w:r>
    </w:p>
    <w:p>
      <w:pPr>
        <w:pStyle w:val="8"/>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2.甲方有权对乙方及其指派律师的工作情况考核评价；</w:t>
      </w:r>
    </w:p>
    <w:p>
      <w:pPr>
        <w:pStyle w:val="8"/>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3.甲方认为乙方指派律师不合格的，有权要求更换；</w:t>
      </w:r>
    </w:p>
    <w:p>
      <w:pPr>
        <w:pStyle w:val="8"/>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4.甲方对乙方及其指派律师履行法律审核把关职责提供保障和支持；</w:t>
      </w:r>
    </w:p>
    <w:p>
      <w:pPr>
        <w:pStyle w:val="8"/>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5.甲方应当按照合同约定支付法律顾问费和律师费；</w:t>
      </w:r>
    </w:p>
    <w:p>
      <w:pPr>
        <w:pStyle w:val="8"/>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6.法律法规规定或本合同约定的其他权利义务。</w:t>
      </w:r>
    </w:p>
    <w:p>
      <w:pPr>
        <w:pStyle w:val="8"/>
        <w:spacing w:before="0" w:beforeAutospacing="0" w:after="0" w:afterAutospacing="0" w:line="560" w:lineRule="exact"/>
        <w:ind w:firstLine="640"/>
        <w:jc w:val="both"/>
        <w:rPr>
          <w:rFonts w:ascii="Calibri" w:hAnsi="Calibri" w:cs="Calibri"/>
          <w:color w:val="333333"/>
          <w:sz w:val="21"/>
          <w:szCs w:val="21"/>
        </w:rPr>
      </w:pPr>
      <w:r>
        <w:rPr>
          <w:rFonts w:hint="eastAsia" w:ascii="黑体" w:hAnsi="黑体" w:eastAsia="黑体" w:cs="黑体"/>
          <w:b/>
          <w:bCs/>
          <w:color w:val="333333"/>
          <w:sz w:val="32"/>
          <w:szCs w:val="32"/>
        </w:rPr>
        <w:t>第五条</w:t>
      </w:r>
      <w:r>
        <w:rPr>
          <w:rFonts w:ascii="Calibri" w:hAnsi="Calibri" w:eastAsia="仿宋" w:cs="Calibri"/>
          <w:color w:val="333333"/>
          <w:sz w:val="32"/>
          <w:szCs w:val="32"/>
        </w:rPr>
        <w:t>  </w:t>
      </w:r>
      <w:r>
        <w:rPr>
          <w:rFonts w:hint="eastAsia" w:ascii="仿宋" w:hAnsi="仿宋" w:eastAsia="仿宋" w:cs="Calibri"/>
          <w:b/>
          <w:bCs/>
          <w:color w:val="333333"/>
          <w:sz w:val="32"/>
          <w:szCs w:val="32"/>
        </w:rPr>
        <w:t>乙方及其指派律师的权利义务</w:t>
      </w:r>
    </w:p>
    <w:p>
      <w:pPr>
        <w:pStyle w:val="8"/>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1.乙方有权基于履行法律顾问职责需要向甲方了解相关情况；</w:t>
      </w:r>
    </w:p>
    <w:p>
      <w:pPr>
        <w:pStyle w:val="8"/>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2.乙方及其指派律师应严格遵守国家法律规定与律师执业规范要求，恪守律师职业道德和执业纪律；</w:t>
      </w:r>
    </w:p>
    <w:p>
      <w:pPr>
        <w:pStyle w:val="8"/>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5.乙方指派律师应依法履行约定的法律顾问职责，勤勉尽责完成甲方法律事务工作，尽最大努力维护公司权益；</w:t>
      </w:r>
    </w:p>
    <w:p>
      <w:pPr>
        <w:pStyle w:val="8"/>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6.乙方指派律师应当在取得公司提供的文件资料后，及时完成委托法律服务事项，并应公司要求报告工作进程；</w:t>
      </w:r>
    </w:p>
    <w:p>
      <w:pPr>
        <w:pStyle w:val="8"/>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7.乙方对提出的法律意见、起草的法律文书以及办理的其他法律事务的合法性负责；</w:t>
      </w:r>
    </w:p>
    <w:p>
      <w:pPr>
        <w:pStyle w:val="8"/>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8.乙方及其指派律师对在提供法律服务过程中知悉的国家秘密和甲方商业秘密负有保密义务的，应另行签订保密承诺书；</w:t>
      </w:r>
    </w:p>
    <w:p>
      <w:pPr>
        <w:pStyle w:val="8"/>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9.乙方指派律师在担任法律顾问期间，不得同时接受与甲方有利益冲突的其他当事人的委托，为其办理法律事务；如确需代理委托的，须提前3日征得甲方书面同意；</w:t>
      </w:r>
    </w:p>
    <w:p>
      <w:pPr>
        <w:pStyle w:val="8"/>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10.乙方指派律师在担任法律顾问期间，不得向公司员工个人提供任何不利于公司的咨询意见；</w:t>
      </w:r>
    </w:p>
    <w:p>
      <w:pPr>
        <w:pStyle w:val="8"/>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11.乙方及其指派律师不得利用在工作期间获得的非公开信息或者便利条件，为所在单位及本人或者他人牟取利益；</w:t>
      </w:r>
    </w:p>
    <w:p>
      <w:pPr>
        <w:pStyle w:val="8"/>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12.乙方及其指派律师不得以甲方常年法律顾问身份从事商业活动以及与履行法律顾问职责无关的活动；</w:t>
      </w:r>
    </w:p>
    <w:p>
      <w:pPr>
        <w:pStyle w:val="8"/>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13.乙方对甲方业务应当单独建档，并保存完整的工作记录，对涉及甲方的原始证据、法律文件和财物应当妥善保管，保证其安全与完整。</w:t>
      </w:r>
    </w:p>
    <w:p>
      <w:pPr>
        <w:pStyle w:val="8"/>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14.乙方对外宣传、披露与公司存在常年法律顾问服务关系时，应提前告知甲方，但此种披露不得以损害甲方声誉为前提。</w:t>
      </w:r>
    </w:p>
    <w:p>
      <w:pPr>
        <w:pStyle w:val="8"/>
        <w:spacing w:before="0" w:beforeAutospacing="0" w:after="0" w:afterAutospacing="0" w:line="560" w:lineRule="exact"/>
        <w:ind w:firstLine="643"/>
        <w:jc w:val="both"/>
        <w:rPr>
          <w:rFonts w:ascii="Calibri" w:hAnsi="Calibri" w:cs="Calibri"/>
          <w:color w:val="333333"/>
          <w:sz w:val="21"/>
          <w:szCs w:val="21"/>
        </w:rPr>
      </w:pPr>
      <w:r>
        <w:rPr>
          <w:rFonts w:hint="eastAsia" w:ascii="黑体" w:hAnsi="黑体" w:eastAsia="黑体" w:cs="Calibri"/>
          <w:b/>
          <w:bCs/>
          <w:color w:val="333333"/>
          <w:sz w:val="32"/>
          <w:szCs w:val="32"/>
        </w:rPr>
        <w:t>第五条</w:t>
      </w:r>
      <w:r>
        <w:rPr>
          <w:rFonts w:ascii="Calibri" w:hAnsi="Calibri" w:eastAsia="仿宋" w:cs="Calibri"/>
          <w:color w:val="333333"/>
          <w:sz w:val="32"/>
          <w:szCs w:val="32"/>
        </w:rPr>
        <w:t>  </w:t>
      </w:r>
      <w:r>
        <w:rPr>
          <w:rFonts w:hint="eastAsia" w:ascii="仿宋" w:hAnsi="仿宋" w:eastAsia="仿宋" w:cs="Calibri"/>
          <w:color w:val="333333"/>
          <w:sz w:val="32"/>
          <w:szCs w:val="32"/>
        </w:rPr>
        <w:t>服务方式</w:t>
      </w:r>
    </w:p>
    <w:p>
      <w:pPr>
        <w:pStyle w:val="8"/>
        <w:spacing w:before="0" w:beforeAutospacing="0" w:after="0" w:afterAutospacing="0" w:line="560" w:lineRule="exact"/>
        <w:ind w:firstLine="640"/>
        <w:jc w:val="both"/>
        <w:rPr>
          <w:rFonts w:ascii="Calibri" w:hAnsi="Calibri" w:cs="Calibri"/>
          <w:color w:val="333333"/>
          <w:sz w:val="21"/>
          <w:szCs w:val="21"/>
        </w:rPr>
      </w:pPr>
      <w:r>
        <w:rPr>
          <w:rFonts w:hint="eastAsia" w:ascii="仿宋" w:hAnsi="仿宋" w:eastAsia="仿宋" w:cs="Calibri"/>
          <w:color w:val="333333"/>
          <w:sz w:val="32"/>
          <w:szCs w:val="32"/>
        </w:rPr>
        <w:t>1.甲乙双方应建立通畅的工作机制，分别指定工作联系人（甲方指定</w:t>
      </w:r>
      <w:r>
        <w:rPr>
          <w:rFonts w:hint="eastAsia" w:ascii="仿宋" w:hAnsi="仿宋" w:eastAsia="仿宋" w:cs="Calibri"/>
          <w:color w:val="333333"/>
          <w:sz w:val="32"/>
          <w:szCs w:val="32"/>
          <w:u w:val="single"/>
        </w:rPr>
        <w:t xml:space="preserve">      ，</w:t>
      </w:r>
      <w:r>
        <w:rPr>
          <w:rFonts w:hint="eastAsia" w:ascii="仿宋" w:hAnsi="仿宋" w:eastAsia="仿宋" w:cs="Calibri"/>
          <w:color w:val="333333"/>
          <w:sz w:val="32"/>
          <w:szCs w:val="32"/>
        </w:rPr>
        <w:t>联系电话：</w:t>
      </w:r>
      <w:r>
        <w:rPr>
          <w:rFonts w:hint="eastAsia" w:ascii="仿宋" w:hAnsi="仿宋" w:eastAsia="仿宋" w:cs="Calibri"/>
          <w:color w:val="333333"/>
          <w:sz w:val="32"/>
          <w:szCs w:val="32"/>
          <w:u w:val="single"/>
        </w:rPr>
        <w:t xml:space="preserve">     </w:t>
      </w:r>
      <w:r>
        <w:rPr>
          <w:rFonts w:hint="eastAsia" w:ascii="仿宋" w:hAnsi="仿宋" w:eastAsia="仿宋" w:cs="Calibri"/>
          <w:color w:val="333333"/>
          <w:sz w:val="32"/>
          <w:szCs w:val="32"/>
        </w:rPr>
        <w:t>，乙方指定</w:t>
      </w:r>
      <w:r>
        <w:rPr>
          <w:rFonts w:hint="eastAsia" w:ascii="仿宋" w:hAnsi="仿宋" w:eastAsia="仿宋" w:cs="Calibri"/>
          <w:color w:val="333333"/>
          <w:sz w:val="32"/>
          <w:szCs w:val="32"/>
          <w:u w:val="single"/>
        </w:rPr>
        <w:t xml:space="preserve">        ，</w:t>
      </w:r>
      <w:r>
        <w:rPr>
          <w:rFonts w:hint="eastAsia" w:ascii="仿宋" w:hAnsi="仿宋" w:eastAsia="仿宋" w:cs="Calibri"/>
          <w:color w:val="333333"/>
          <w:sz w:val="32"/>
          <w:szCs w:val="32"/>
        </w:rPr>
        <w:t>联系电话：</w:t>
      </w:r>
      <w:r>
        <w:rPr>
          <w:rFonts w:hint="eastAsia" w:ascii="仿宋" w:hAnsi="仿宋" w:eastAsia="仿宋" w:cs="Calibri"/>
          <w:color w:val="333333"/>
          <w:sz w:val="32"/>
          <w:szCs w:val="32"/>
          <w:u w:val="single"/>
        </w:rPr>
        <w:t xml:space="preserve">     </w:t>
      </w:r>
      <w:r>
        <w:rPr>
          <w:rFonts w:hint="eastAsia" w:ascii="仿宋" w:hAnsi="仿宋" w:eastAsia="仿宋" w:cs="Calibri"/>
          <w:color w:val="333333"/>
          <w:sz w:val="32"/>
          <w:szCs w:val="32"/>
        </w:rPr>
        <w:t>），保持良好的沟通联系，保质保量按时完成工作任务。</w:t>
      </w:r>
    </w:p>
    <w:p>
      <w:pPr>
        <w:pStyle w:val="8"/>
        <w:spacing w:before="0" w:beforeAutospacing="0" w:after="0" w:afterAutospacing="0" w:line="560" w:lineRule="exact"/>
        <w:ind w:firstLine="640"/>
        <w:jc w:val="both"/>
        <w:rPr>
          <w:rFonts w:ascii="Calibri" w:hAnsi="Calibri" w:cs="Calibri"/>
          <w:color w:val="333333"/>
          <w:sz w:val="21"/>
          <w:szCs w:val="21"/>
        </w:rPr>
      </w:pPr>
      <w:r>
        <w:rPr>
          <w:rFonts w:hint="eastAsia" w:ascii="仿宋" w:hAnsi="仿宋" w:eastAsia="仿宋" w:cs="Calibri"/>
          <w:color w:val="333333"/>
          <w:sz w:val="32"/>
          <w:szCs w:val="32"/>
        </w:rPr>
        <w:t>2.乙方为甲方提供法律顾问服务的团队由本合同第一条所指派的律师担任负责人及主办律师，并由该团队负责人组建律师团队。乙方应根据甲方具体法律事务的不同要求，调集、组织不同专业领城的律师提供专业服务。</w:t>
      </w:r>
    </w:p>
    <w:p>
      <w:pPr>
        <w:pStyle w:val="8"/>
        <w:spacing w:before="0" w:beforeAutospacing="0" w:after="0" w:afterAutospacing="0" w:line="560" w:lineRule="exact"/>
        <w:ind w:firstLine="640"/>
        <w:jc w:val="both"/>
        <w:rPr>
          <w:rFonts w:ascii="Calibri" w:hAnsi="Calibri" w:cs="Calibri"/>
          <w:color w:val="333333"/>
          <w:sz w:val="21"/>
          <w:szCs w:val="21"/>
        </w:rPr>
      </w:pPr>
      <w:r>
        <w:rPr>
          <w:rFonts w:hint="eastAsia" w:ascii="仿宋" w:hAnsi="仿宋" w:eastAsia="仿宋" w:cs="Calibri"/>
          <w:color w:val="333333"/>
          <w:sz w:val="32"/>
          <w:szCs w:val="32"/>
        </w:rPr>
        <w:t>3.甲方通过电话、传真、信函、电子邮件等方式通知乙方工作任务。乙方以经双方确认的形式进行咨询回复、现场参加工作会议、进行现场调查、提交书面法律建议、起草法律文书、出具法律意见书等方式提供法律服务。</w:t>
      </w:r>
    </w:p>
    <w:p>
      <w:pPr>
        <w:pStyle w:val="8"/>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4.对甲方临时或突发性的法律事务，乙方指派律师在工作安排上应积极作好调整，尽量优先满足甲方的工作需要。</w:t>
      </w:r>
    </w:p>
    <w:p>
      <w:pPr>
        <w:pStyle w:val="8"/>
        <w:spacing w:before="0" w:beforeAutospacing="0" w:after="0" w:afterAutospacing="0" w:line="560" w:lineRule="exact"/>
        <w:ind w:firstLine="643"/>
        <w:jc w:val="both"/>
        <w:rPr>
          <w:rFonts w:ascii="Calibri" w:hAnsi="Calibri" w:cs="Calibri"/>
          <w:color w:val="333333"/>
          <w:sz w:val="21"/>
          <w:szCs w:val="21"/>
        </w:rPr>
      </w:pPr>
      <w:r>
        <w:rPr>
          <w:rFonts w:hint="eastAsia" w:ascii="黑体" w:hAnsi="黑体" w:eastAsia="黑体" w:cs="Calibri"/>
          <w:b/>
          <w:bCs/>
          <w:color w:val="333333"/>
          <w:sz w:val="32"/>
          <w:szCs w:val="32"/>
        </w:rPr>
        <w:t>第六条</w:t>
      </w:r>
      <w:r>
        <w:rPr>
          <w:rFonts w:ascii="Calibri" w:hAnsi="Calibri" w:eastAsia="仿宋" w:cs="Calibri"/>
          <w:color w:val="333333"/>
          <w:sz w:val="32"/>
          <w:szCs w:val="32"/>
        </w:rPr>
        <w:t>  </w:t>
      </w:r>
      <w:r>
        <w:rPr>
          <w:rFonts w:hint="eastAsia" w:ascii="仿宋" w:hAnsi="仿宋" w:eastAsia="仿宋" w:cs="Calibri"/>
          <w:color w:val="333333"/>
          <w:sz w:val="32"/>
          <w:szCs w:val="32"/>
        </w:rPr>
        <w:t>服务费用及支付方式</w:t>
      </w:r>
    </w:p>
    <w:p>
      <w:pPr>
        <w:pStyle w:val="8"/>
        <w:spacing w:beforeAutospacing="0" w:afterAutospacing="0" w:line="560" w:lineRule="exact"/>
        <w:ind w:firstLine="640" w:firstLineChars="200"/>
        <w:rPr>
          <w:rFonts w:ascii="仿宋" w:hAnsi="仿宋" w:eastAsia="仿宋" w:cs="Calibri"/>
          <w:color w:val="333333"/>
          <w:sz w:val="32"/>
          <w:szCs w:val="32"/>
        </w:rPr>
      </w:pPr>
      <w:r>
        <w:rPr>
          <w:rFonts w:hint="eastAsia" w:ascii="仿宋" w:hAnsi="仿宋" w:eastAsia="仿宋" w:cs="Calibri"/>
          <w:color w:val="333333"/>
          <w:sz w:val="32"/>
          <w:szCs w:val="32"/>
        </w:rPr>
        <w:t>1.本合同项下常年法律顾问费为人民币元/年（￥元），常年法律顾问费包括增值税费、差旅费、食宿费、交通费、复印费等一切费用。</w:t>
      </w:r>
    </w:p>
    <w:p>
      <w:pPr>
        <w:shd w:val="clear" w:color="auto" w:fill="FFFFFF"/>
        <w:spacing w:line="560" w:lineRule="exact"/>
        <w:ind w:firstLine="640" w:firstLineChars="200"/>
        <w:rPr>
          <w:rFonts w:ascii="仿宋" w:hAnsi="仿宋" w:eastAsia="仿宋" w:cs="Calibri"/>
          <w:b/>
          <w:bCs/>
          <w:color w:val="333333"/>
          <w:kern w:val="0"/>
          <w:sz w:val="32"/>
          <w:szCs w:val="32"/>
        </w:rPr>
      </w:pPr>
      <w:r>
        <w:rPr>
          <w:rFonts w:hint="eastAsia" w:ascii="仿宋" w:hAnsi="仿宋" w:eastAsia="仿宋" w:cs="Calibri"/>
          <w:color w:val="333333"/>
          <w:kern w:val="0"/>
          <w:sz w:val="32"/>
          <w:szCs w:val="32"/>
        </w:rPr>
        <w:t>2.常年法律顾问费采用分年度支付的方式，甲方应于本合同签订后五个工作日内支付第一年法律顾问费的50%，其余50%在一个服务年度终了后完成相关考核，考核合格并完成合同约定事项后支付；若有违约行为需扣除违约金、赔偿金等情况的，应先扣除相关违约金、赔偿金后，按实际剩余的数额支付。</w:t>
      </w:r>
    </w:p>
    <w:p>
      <w:pPr>
        <w:shd w:val="clear" w:color="auto" w:fill="FFFFFF"/>
        <w:spacing w:line="560" w:lineRule="exact"/>
        <w:ind w:firstLine="640" w:firstLineChars="200"/>
        <w:jc w:val="left"/>
        <w:rPr>
          <w:rFonts w:ascii="仿宋" w:hAnsi="仿宋" w:eastAsia="仿宋" w:cs="Calibri"/>
          <w:color w:val="333333"/>
          <w:kern w:val="0"/>
          <w:sz w:val="32"/>
          <w:szCs w:val="32"/>
        </w:rPr>
      </w:pPr>
      <w:r>
        <w:rPr>
          <w:rFonts w:hint="eastAsia" w:ascii="仿宋" w:hAnsi="仿宋" w:eastAsia="仿宋" w:cs="Calibri"/>
          <w:color w:val="333333"/>
          <w:kern w:val="0"/>
          <w:sz w:val="32"/>
          <w:szCs w:val="32"/>
        </w:rPr>
        <w:t>3.甲方法律服务费须支付至乙方指定的以下账户：</w:t>
      </w:r>
    </w:p>
    <w:p>
      <w:pPr>
        <w:shd w:val="clear" w:color="auto" w:fill="FFFFFF"/>
        <w:spacing w:line="560" w:lineRule="exact"/>
        <w:ind w:firstLine="640" w:firstLineChars="200"/>
        <w:jc w:val="left"/>
        <w:rPr>
          <w:rFonts w:ascii="仿宋" w:hAnsi="仿宋" w:eastAsia="仿宋" w:cs="Calibri"/>
          <w:color w:val="333333"/>
          <w:kern w:val="0"/>
          <w:sz w:val="32"/>
          <w:szCs w:val="32"/>
        </w:rPr>
      </w:pPr>
      <w:r>
        <w:rPr>
          <w:rFonts w:hint="eastAsia" w:ascii="仿宋" w:hAnsi="仿宋" w:eastAsia="仿宋" w:cs="Calibri"/>
          <w:color w:val="333333"/>
          <w:kern w:val="0"/>
          <w:sz w:val="32"/>
          <w:szCs w:val="32"/>
        </w:rPr>
        <w:t>名称</w:t>
      </w:r>
      <w:r>
        <w:rPr>
          <w:rFonts w:hint="eastAsia" w:ascii="仿宋" w:hAnsi="仿宋" w:eastAsia="仿宋" w:cs="Calibri"/>
          <w:color w:val="333333"/>
          <w:kern w:val="0"/>
          <w:sz w:val="32"/>
          <w:szCs w:val="32"/>
          <w:u w:val="single"/>
        </w:rPr>
        <w:t xml:space="preserve">：         </w:t>
      </w:r>
      <w:r>
        <w:rPr>
          <w:rFonts w:hint="eastAsia" w:ascii="仿宋" w:hAnsi="仿宋" w:eastAsia="仿宋" w:cs="Calibri"/>
          <w:color w:val="333333"/>
          <w:kern w:val="0"/>
          <w:sz w:val="32"/>
          <w:szCs w:val="32"/>
        </w:rPr>
        <w:t>；开户行</w:t>
      </w:r>
      <w:r>
        <w:rPr>
          <w:rFonts w:hint="eastAsia" w:ascii="仿宋" w:hAnsi="仿宋" w:eastAsia="仿宋" w:cs="Calibri"/>
          <w:color w:val="333333"/>
          <w:kern w:val="0"/>
          <w:sz w:val="32"/>
          <w:szCs w:val="32"/>
          <w:u w:val="single"/>
        </w:rPr>
        <w:t xml:space="preserve">：       </w:t>
      </w:r>
      <w:r>
        <w:rPr>
          <w:rFonts w:hint="eastAsia" w:ascii="仿宋" w:hAnsi="仿宋" w:eastAsia="仿宋" w:cs="Calibri"/>
          <w:color w:val="333333"/>
          <w:kern w:val="0"/>
          <w:sz w:val="32"/>
          <w:szCs w:val="32"/>
        </w:rPr>
        <w:t>；帐号</w:t>
      </w:r>
      <w:r>
        <w:rPr>
          <w:rFonts w:hint="eastAsia" w:ascii="仿宋" w:hAnsi="仿宋" w:eastAsia="仿宋" w:cs="Calibri"/>
          <w:color w:val="333333"/>
          <w:kern w:val="0"/>
          <w:sz w:val="32"/>
          <w:szCs w:val="32"/>
          <w:u w:val="single"/>
        </w:rPr>
        <w:t xml:space="preserve">：       </w:t>
      </w:r>
    </w:p>
    <w:p>
      <w:pPr>
        <w:pStyle w:val="8"/>
        <w:spacing w:beforeAutospacing="0" w:afterAutospacing="0" w:line="560" w:lineRule="exact"/>
        <w:ind w:firstLine="640" w:firstLineChars="200"/>
        <w:rPr>
          <w:rFonts w:ascii="仿宋" w:hAnsi="仿宋" w:eastAsia="仿宋" w:cs="Calibri"/>
          <w:bCs/>
          <w:color w:val="333333"/>
          <w:sz w:val="32"/>
          <w:szCs w:val="32"/>
        </w:rPr>
      </w:pPr>
      <w:r>
        <w:rPr>
          <w:rFonts w:hint="eastAsia" w:ascii="仿宋" w:hAnsi="仿宋" w:eastAsia="仿宋" w:cs="Calibri"/>
          <w:color w:val="333333"/>
          <w:sz w:val="32"/>
          <w:szCs w:val="32"/>
        </w:rPr>
        <w:t>若本合同期限长于一年的，则甲方应于上一服务年度届满前十五日内支付下一合同年度法律顾问费的50%至上述乙方指定账户，剩余50%按第一年度的支付方式执行。</w:t>
      </w:r>
      <w:r>
        <w:rPr>
          <w:rFonts w:hint="eastAsia" w:ascii="仿宋" w:hAnsi="仿宋" w:eastAsia="仿宋" w:cs="Calibri"/>
          <w:bCs/>
          <w:color w:val="333333"/>
          <w:sz w:val="32"/>
          <w:szCs w:val="32"/>
        </w:rPr>
        <w:t>乙方应当在每次申请付款前，向甲方开具相应金额的增值税专用发票（税率：），否则甲方有权拒绝付款。</w:t>
      </w:r>
    </w:p>
    <w:p>
      <w:pPr>
        <w:pStyle w:val="8"/>
        <w:spacing w:beforeAutospacing="0" w:afterAutospacing="0" w:line="560" w:lineRule="exact"/>
        <w:ind w:firstLine="640" w:firstLineChars="200"/>
        <w:rPr>
          <w:rFonts w:ascii="仿宋" w:hAnsi="仿宋" w:eastAsia="仿宋" w:cs="Calibri"/>
          <w:color w:val="333333"/>
          <w:sz w:val="32"/>
          <w:szCs w:val="32"/>
        </w:rPr>
      </w:pPr>
      <w:r>
        <w:rPr>
          <w:rFonts w:hint="eastAsia" w:ascii="仿宋" w:hAnsi="仿宋" w:eastAsia="仿宋" w:cs="Calibri"/>
          <w:color w:val="333333"/>
          <w:sz w:val="32"/>
          <w:szCs w:val="32"/>
        </w:rPr>
        <w:t>4.乙方办理公司委托事项发生的下列费用由公司承担：</w:t>
      </w:r>
    </w:p>
    <w:p>
      <w:pPr>
        <w:pStyle w:val="8"/>
        <w:spacing w:beforeAutospacing="0" w:afterAutospacing="0" w:line="560" w:lineRule="exact"/>
        <w:ind w:firstLine="640" w:firstLineChars="200"/>
        <w:rPr>
          <w:rFonts w:ascii="仿宋" w:hAnsi="仿宋" w:eastAsia="仿宋" w:cs="Calibri"/>
          <w:color w:val="333333"/>
          <w:sz w:val="32"/>
          <w:szCs w:val="32"/>
        </w:rPr>
      </w:pPr>
      <w:r>
        <w:rPr>
          <w:rFonts w:hint="eastAsia" w:ascii="仿宋" w:hAnsi="仿宋" w:eastAsia="仿宋" w:cs="Calibri"/>
          <w:color w:val="333333"/>
          <w:sz w:val="32"/>
          <w:szCs w:val="32"/>
        </w:rPr>
        <w:t>（1）相关行政、司法、鉴定、公证等部门收取的费用；</w:t>
      </w:r>
    </w:p>
    <w:p>
      <w:pPr>
        <w:pStyle w:val="8"/>
        <w:spacing w:beforeAutospacing="0" w:afterAutospacing="0" w:line="560" w:lineRule="exact"/>
        <w:ind w:firstLine="640" w:firstLineChars="200"/>
        <w:rPr>
          <w:rFonts w:ascii="仿宋" w:hAnsi="仿宋" w:eastAsia="仿宋" w:cs="Calibri"/>
          <w:color w:val="333333"/>
          <w:sz w:val="32"/>
          <w:szCs w:val="32"/>
        </w:rPr>
      </w:pPr>
      <w:r>
        <w:rPr>
          <w:rFonts w:hint="eastAsia" w:ascii="仿宋" w:hAnsi="仿宋" w:eastAsia="仿宋" w:cs="Calibri"/>
          <w:color w:val="333333"/>
          <w:sz w:val="32"/>
          <w:szCs w:val="32"/>
        </w:rPr>
        <w:t>（2）征得甲方同意后支出的其他费用。</w:t>
      </w:r>
    </w:p>
    <w:p>
      <w:pPr>
        <w:spacing w:line="560" w:lineRule="exact"/>
        <w:ind w:firstLine="643" w:firstLineChars="200"/>
        <w:rPr>
          <w:rFonts w:ascii="仿宋" w:hAnsi="仿宋" w:eastAsia="仿宋" w:cs="Calibri"/>
          <w:color w:val="333333"/>
          <w:kern w:val="0"/>
          <w:sz w:val="32"/>
          <w:szCs w:val="32"/>
        </w:rPr>
      </w:pPr>
      <w:r>
        <w:rPr>
          <w:rFonts w:hint="eastAsia" w:ascii="黑体" w:hAnsi="黑体" w:eastAsia="黑体" w:cs="Calibri"/>
          <w:b/>
          <w:bCs/>
          <w:color w:val="333333"/>
          <w:kern w:val="0"/>
          <w:sz w:val="32"/>
          <w:szCs w:val="32"/>
        </w:rPr>
        <w:t xml:space="preserve">第七条 </w:t>
      </w:r>
      <w:r>
        <w:rPr>
          <w:rFonts w:hint="eastAsia" w:ascii="仿宋" w:hAnsi="仿宋" w:eastAsia="仿宋" w:cs="Calibri"/>
          <w:color w:val="333333"/>
          <w:kern w:val="0"/>
          <w:sz w:val="32"/>
          <w:szCs w:val="32"/>
        </w:rPr>
        <w:t>服务期限及续约</w:t>
      </w:r>
    </w:p>
    <w:p>
      <w:pPr>
        <w:spacing w:line="560" w:lineRule="exact"/>
        <w:ind w:firstLine="640" w:firstLineChars="200"/>
        <w:rPr>
          <w:rFonts w:ascii="仿宋" w:hAnsi="仿宋" w:eastAsia="仿宋" w:cs="Calibri"/>
          <w:color w:val="333333"/>
          <w:kern w:val="0"/>
          <w:sz w:val="32"/>
          <w:szCs w:val="32"/>
        </w:rPr>
      </w:pPr>
      <w:r>
        <w:rPr>
          <w:rFonts w:hint="eastAsia" w:ascii="仿宋" w:hAnsi="仿宋" w:eastAsia="仿宋" w:cs="Calibri"/>
          <w:color w:val="333333"/>
          <w:kern w:val="0"/>
          <w:sz w:val="32"/>
          <w:szCs w:val="32"/>
        </w:rPr>
        <w:t>1.常年法律顾问服务期限为年，自年月日起至年月日止。</w:t>
      </w:r>
    </w:p>
    <w:p>
      <w:pPr>
        <w:spacing w:line="560" w:lineRule="exact"/>
        <w:ind w:firstLine="640" w:firstLineChars="200"/>
        <w:rPr>
          <w:rFonts w:ascii="仿宋" w:hAnsi="仿宋" w:eastAsia="仿宋" w:cs="Calibri"/>
          <w:color w:val="333333"/>
          <w:kern w:val="0"/>
          <w:sz w:val="32"/>
          <w:szCs w:val="32"/>
        </w:rPr>
      </w:pPr>
      <w:r>
        <w:rPr>
          <w:rFonts w:hint="eastAsia" w:ascii="仿宋" w:hAnsi="仿宋" w:eastAsia="仿宋" w:cs="Calibri"/>
          <w:color w:val="333333"/>
          <w:kern w:val="0"/>
          <w:sz w:val="32"/>
          <w:szCs w:val="32"/>
        </w:rPr>
        <w:t>2.</w:t>
      </w:r>
      <w:r>
        <w:rPr>
          <w:rFonts w:hint="eastAsia" w:ascii="仿宋" w:hAnsi="仿宋" w:eastAsia="仿宋" w:cs="Calibri"/>
          <w:b/>
          <w:color w:val="333333"/>
          <w:kern w:val="0"/>
          <w:sz w:val="32"/>
          <w:szCs w:val="32"/>
        </w:rPr>
        <w:t>本合同期满后，如甲乙双方均无异议的，本合同服务期限自动延续，延续期限为壹年，收费标准不变。</w:t>
      </w:r>
    </w:p>
    <w:p>
      <w:pPr>
        <w:spacing w:line="560" w:lineRule="exact"/>
        <w:ind w:firstLine="640" w:firstLineChars="200"/>
        <w:rPr>
          <w:rFonts w:ascii="仿宋" w:hAnsi="仿宋" w:eastAsia="仿宋" w:cs="Calibri"/>
          <w:color w:val="333333"/>
          <w:kern w:val="0"/>
          <w:sz w:val="32"/>
          <w:szCs w:val="32"/>
        </w:rPr>
      </w:pPr>
      <w:r>
        <w:rPr>
          <w:rFonts w:hint="eastAsia" w:ascii="仿宋" w:hAnsi="仿宋" w:eastAsia="仿宋" w:cs="Calibri"/>
          <w:color w:val="333333"/>
          <w:kern w:val="0"/>
          <w:sz w:val="32"/>
          <w:szCs w:val="32"/>
        </w:rPr>
        <w:t>3.如有异议的，异议方应与服务期满前30日内提出，并双方协商决定是否续签常年法律顾问聘用合同。本合同期满后未续签或者决定不续签且甲方重新选聘新常年法律顾问前，乙方应无条件依照本合同服务标准为甲方提供临时法律服务，临时性法律服务期限按照本合同约定的收费标准自动延期至服务终止或合同续签之日（不足15天按半月计算，超过15天按一个月计算）。</w:t>
      </w:r>
    </w:p>
    <w:p>
      <w:pPr>
        <w:spacing w:line="560" w:lineRule="exact"/>
        <w:ind w:firstLine="643" w:firstLineChars="200"/>
        <w:rPr>
          <w:rFonts w:ascii="仿宋" w:hAnsi="仿宋" w:eastAsia="仿宋" w:cs="Calibri"/>
          <w:color w:val="333333"/>
          <w:kern w:val="0"/>
          <w:sz w:val="32"/>
          <w:szCs w:val="32"/>
        </w:rPr>
      </w:pPr>
      <w:r>
        <w:rPr>
          <w:rFonts w:hint="eastAsia" w:ascii="黑体" w:hAnsi="黑体" w:eastAsia="黑体" w:cs="Calibri"/>
          <w:b/>
          <w:bCs/>
          <w:color w:val="333333"/>
          <w:kern w:val="0"/>
          <w:sz w:val="32"/>
          <w:szCs w:val="32"/>
        </w:rPr>
        <w:t>第八条</w:t>
      </w:r>
      <w:r>
        <w:rPr>
          <w:rFonts w:hint="eastAsia" w:ascii="仿宋" w:hAnsi="仿宋" w:eastAsia="仿宋" w:cs="Calibri"/>
          <w:color w:val="333333"/>
          <w:kern w:val="0"/>
          <w:sz w:val="32"/>
          <w:szCs w:val="32"/>
        </w:rPr>
        <w:t xml:space="preserve"> 为提高乙方律师服务的积极性，甲方承诺案情简单、标的金额小的仲裁或诉讼案件可直接委托乙方代理，该服务不在常年法律顾问服务内容的范围内，甲乙双方另行签订委托代理合同。乙方应按龙岩市律师行业协会公布的收费标准分段收费最低限计算服务费用（如某段收费为0.75～3，则按0.75计费），并以不超过五折的范围内酌情向甲方收取律师费。</w:t>
      </w:r>
    </w:p>
    <w:p>
      <w:pPr>
        <w:pStyle w:val="8"/>
        <w:spacing w:before="0" w:beforeAutospacing="0" w:after="0" w:afterAutospacing="0" w:line="560" w:lineRule="exact"/>
        <w:ind w:firstLine="643"/>
        <w:jc w:val="both"/>
        <w:rPr>
          <w:rFonts w:ascii="Calibri" w:hAnsi="Calibri" w:cs="Calibri"/>
          <w:color w:val="333333"/>
          <w:sz w:val="21"/>
          <w:szCs w:val="21"/>
        </w:rPr>
      </w:pPr>
      <w:r>
        <w:rPr>
          <w:rFonts w:hint="eastAsia" w:ascii="黑体" w:hAnsi="黑体" w:eastAsia="黑体" w:cs="Calibri"/>
          <w:b/>
          <w:bCs/>
          <w:color w:val="333333"/>
          <w:sz w:val="32"/>
          <w:szCs w:val="32"/>
        </w:rPr>
        <w:t>第九条</w:t>
      </w:r>
      <w:r>
        <w:rPr>
          <w:rFonts w:ascii="Calibri" w:hAnsi="Calibri" w:eastAsia="仿宋" w:cs="Calibri"/>
          <w:color w:val="333333"/>
          <w:sz w:val="32"/>
          <w:szCs w:val="32"/>
        </w:rPr>
        <w:t>  </w:t>
      </w:r>
      <w:r>
        <w:rPr>
          <w:rFonts w:hint="eastAsia" w:ascii="仿宋" w:hAnsi="仿宋" w:eastAsia="仿宋" w:cs="Calibri"/>
          <w:color w:val="333333"/>
          <w:sz w:val="32"/>
          <w:szCs w:val="32"/>
        </w:rPr>
        <w:t>合同的变更和解除</w:t>
      </w:r>
    </w:p>
    <w:p>
      <w:pPr>
        <w:pStyle w:val="8"/>
        <w:spacing w:before="0" w:beforeAutospacing="0" w:after="0" w:afterAutospacing="0" w:line="560" w:lineRule="exact"/>
        <w:ind w:firstLine="640"/>
        <w:jc w:val="both"/>
        <w:rPr>
          <w:rFonts w:ascii="Calibri" w:hAnsi="Calibri" w:cs="Calibri"/>
          <w:color w:val="333333"/>
          <w:sz w:val="21"/>
          <w:szCs w:val="21"/>
        </w:rPr>
      </w:pPr>
      <w:r>
        <w:rPr>
          <w:rFonts w:hint="eastAsia" w:ascii="仿宋" w:hAnsi="仿宋" w:eastAsia="仿宋" w:cs="Calibri"/>
          <w:color w:val="333333"/>
          <w:sz w:val="32"/>
          <w:szCs w:val="32"/>
        </w:rPr>
        <w:t>1.甲乙双方经协商同意，可以变更或者解除本合同。</w:t>
      </w:r>
    </w:p>
    <w:p>
      <w:pPr>
        <w:pStyle w:val="8"/>
        <w:spacing w:before="0" w:beforeAutospacing="0" w:after="0" w:afterAutospacing="0" w:line="560" w:lineRule="exact"/>
        <w:ind w:firstLine="640"/>
        <w:jc w:val="both"/>
        <w:rPr>
          <w:rFonts w:ascii="Calibri" w:hAnsi="Calibri" w:cs="Calibri"/>
          <w:color w:val="333333"/>
          <w:sz w:val="21"/>
          <w:szCs w:val="21"/>
        </w:rPr>
      </w:pPr>
      <w:r>
        <w:rPr>
          <w:rFonts w:hint="eastAsia" w:ascii="仿宋" w:hAnsi="仿宋" w:eastAsia="仿宋" w:cs="Calibri"/>
          <w:color w:val="333333"/>
          <w:sz w:val="32"/>
          <w:szCs w:val="32"/>
        </w:rPr>
        <w:t>2.乙方有下列情形之一，甲方有权解除合同，：</w:t>
      </w:r>
    </w:p>
    <w:p>
      <w:pPr>
        <w:pStyle w:val="8"/>
        <w:spacing w:before="0" w:beforeAutospacing="0" w:after="0" w:afterAutospacing="0" w:line="560" w:lineRule="exact"/>
        <w:ind w:firstLine="640"/>
        <w:jc w:val="both"/>
        <w:rPr>
          <w:rFonts w:ascii="Calibri" w:hAnsi="Calibri" w:cs="Calibri"/>
          <w:color w:val="333333"/>
          <w:sz w:val="21"/>
          <w:szCs w:val="21"/>
        </w:rPr>
      </w:pPr>
      <w:r>
        <w:rPr>
          <w:rFonts w:hint="eastAsia" w:ascii="仿宋" w:hAnsi="仿宋" w:eastAsia="仿宋" w:cs="Calibri"/>
          <w:color w:val="333333"/>
          <w:sz w:val="32"/>
          <w:szCs w:val="32"/>
        </w:rPr>
        <w:t>（1）未经甲方同意，乙方擅自更换联系人和律师的；</w:t>
      </w:r>
    </w:p>
    <w:p>
      <w:pPr>
        <w:pStyle w:val="8"/>
        <w:spacing w:before="0" w:beforeAutospacing="0" w:after="0" w:afterAutospacing="0" w:line="560" w:lineRule="exact"/>
        <w:ind w:firstLine="640"/>
        <w:jc w:val="both"/>
        <w:rPr>
          <w:rFonts w:ascii="Calibri" w:hAnsi="Calibri" w:cs="Calibri"/>
          <w:color w:val="333333"/>
          <w:sz w:val="21"/>
          <w:szCs w:val="21"/>
        </w:rPr>
      </w:pPr>
      <w:r>
        <w:rPr>
          <w:rFonts w:hint="eastAsia" w:ascii="仿宋" w:hAnsi="仿宋" w:eastAsia="仿宋" w:cs="Calibri"/>
          <w:color w:val="333333"/>
          <w:sz w:val="32"/>
          <w:szCs w:val="32"/>
        </w:rPr>
        <w:t>（2）因乙方指派律师工作延误、失职、失误导致甲方蒙受损失的；</w:t>
      </w:r>
    </w:p>
    <w:p>
      <w:pPr>
        <w:pStyle w:val="8"/>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（3）乙方工作经甲方考核为不合格，且经整改后仍未能符合服务标准和服务要求的。</w:t>
      </w:r>
    </w:p>
    <w:p>
      <w:pPr>
        <w:pStyle w:val="8"/>
        <w:spacing w:before="0" w:beforeAutospacing="0" w:after="0" w:afterAutospacing="0" w:line="560" w:lineRule="exact"/>
        <w:ind w:firstLine="640"/>
        <w:jc w:val="both"/>
        <w:rPr>
          <w:rFonts w:ascii="Calibri" w:hAnsi="Calibri" w:cs="Calibri"/>
          <w:color w:val="333333"/>
          <w:sz w:val="21"/>
          <w:szCs w:val="21"/>
        </w:rPr>
      </w:pPr>
      <w:r>
        <w:rPr>
          <w:rFonts w:hint="eastAsia" w:ascii="仿宋" w:hAnsi="仿宋" w:eastAsia="仿宋" w:cs="Calibri"/>
          <w:color w:val="333333"/>
          <w:sz w:val="32"/>
          <w:szCs w:val="32"/>
        </w:rPr>
        <w:t>（4）甲方上级集团对乙方服务组织年度评价，评价差且拒不接受书面改善意见、拒不改正的。</w:t>
      </w:r>
    </w:p>
    <w:p>
      <w:pPr>
        <w:pStyle w:val="8"/>
        <w:spacing w:before="0" w:beforeAutospacing="0" w:after="0" w:afterAutospacing="0" w:line="560" w:lineRule="exact"/>
        <w:ind w:firstLine="640"/>
        <w:jc w:val="both"/>
        <w:rPr>
          <w:rFonts w:ascii="Calibri" w:hAnsi="Calibri" w:eastAsia="仿宋" w:cs="Calibri"/>
          <w:color w:val="333333"/>
          <w:sz w:val="21"/>
          <w:szCs w:val="21"/>
        </w:rPr>
      </w:pPr>
      <w:r>
        <w:rPr>
          <w:rFonts w:hint="eastAsia" w:ascii="仿宋" w:hAnsi="仿宋" w:eastAsia="仿宋" w:cs="Calibri"/>
          <w:color w:val="333333"/>
          <w:sz w:val="32"/>
          <w:szCs w:val="32"/>
        </w:rPr>
        <w:t>3.甲方依据本条第2款约定解除合同的，不影响甲方追究乙方违约责任的权利；甲方可向司法行政部门、律师协会反映情况，并有权将乙方不纳入下一期法律服务机构竞价对象范围。</w:t>
      </w:r>
    </w:p>
    <w:p>
      <w:pPr>
        <w:pStyle w:val="8"/>
        <w:spacing w:before="0" w:beforeAutospacing="0" w:after="0" w:afterAutospacing="0" w:line="560" w:lineRule="exact"/>
        <w:ind w:firstLine="643"/>
        <w:jc w:val="both"/>
        <w:rPr>
          <w:rFonts w:ascii="Calibri" w:hAnsi="Calibri" w:cs="Calibri"/>
          <w:color w:val="333333"/>
          <w:sz w:val="21"/>
          <w:szCs w:val="21"/>
        </w:rPr>
      </w:pPr>
      <w:r>
        <w:rPr>
          <w:rFonts w:hint="eastAsia" w:ascii="黑体" w:hAnsi="黑体" w:eastAsia="黑体" w:cs="Calibri"/>
          <w:b/>
          <w:bCs/>
          <w:color w:val="333333"/>
          <w:sz w:val="32"/>
          <w:szCs w:val="32"/>
        </w:rPr>
        <w:t>第十条</w:t>
      </w:r>
      <w:r>
        <w:rPr>
          <w:rFonts w:ascii="Calibri" w:hAnsi="Calibri" w:eastAsia="仿宋" w:cs="Calibri"/>
          <w:color w:val="333333"/>
          <w:sz w:val="32"/>
          <w:szCs w:val="32"/>
        </w:rPr>
        <w:t>  </w:t>
      </w:r>
      <w:r>
        <w:rPr>
          <w:rFonts w:hint="eastAsia" w:ascii="仿宋" w:hAnsi="仿宋" w:eastAsia="仿宋" w:cs="Calibri"/>
          <w:color w:val="333333"/>
          <w:sz w:val="32"/>
          <w:szCs w:val="32"/>
        </w:rPr>
        <w:t>违约责任</w:t>
      </w:r>
    </w:p>
    <w:p>
      <w:pPr>
        <w:pStyle w:val="8"/>
        <w:spacing w:before="0" w:beforeAutospacing="0" w:after="0" w:afterAutospacing="0" w:line="560" w:lineRule="exact"/>
        <w:ind w:firstLine="640" w:firstLineChars="200"/>
        <w:jc w:val="both"/>
        <w:rPr>
          <w:rFonts w:ascii="仿宋" w:hAnsi="仿宋" w:eastAsia="仿宋" w:cs="Calibri"/>
          <w:color w:val="333333"/>
          <w:sz w:val="32"/>
          <w:szCs w:val="32"/>
        </w:rPr>
      </w:pPr>
      <w:r>
        <w:rPr>
          <w:rFonts w:hint="eastAsia" w:ascii="仿宋" w:hAnsi="仿宋" w:eastAsia="仿宋" w:cs="Calibri"/>
          <w:color w:val="333333"/>
          <w:sz w:val="32"/>
          <w:szCs w:val="32"/>
        </w:rPr>
        <w:t>1.乙方无正当理由解除本合同或停止提供法律服务、拒绝履行义务的，甲方有权要求乙方退还部分或者全部已付的法律顾问费，并且乙方应赔偿因此给甲方造成的损失。</w:t>
      </w:r>
    </w:p>
    <w:p>
      <w:pPr>
        <w:pStyle w:val="8"/>
        <w:spacing w:before="0" w:beforeAutospacing="0" w:after="0" w:afterAutospacing="0" w:line="560" w:lineRule="exact"/>
        <w:ind w:firstLine="640" w:firstLineChars="200"/>
        <w:jc w:val="both"/>
        <w:rPr>
          <w:rFonts w:ascii="仿宋" w:hAnsi="仿宋" w:eastAsia="仿宋" w:cs="Calibri"/>
          <w:color w:val="333333"/>
          <w:sz w:val="32"/>
          <w:szCs w:val="32"/>
        </w:rPr>
      </w:pPr>
      <w:r>
        <w:rPr>
          <w:rFonts w:hint="eastAsia" w:ascii="仿宋" w:hAnsi="仿宋" w:eastAsia="仿宋" w:cs="Calibri"/>
          <w:color w:val="333333"/>
          <w:sz w:val="32"/>
          <w:szCs w:val="32"/>
        </w:rPr>
        <w:t>2.甲方无正当理由不支付法律顾问费或者无故解除本合同，乙方有权要求甲方支付未支付的法律顾问费。</w:t>
      </w:r>
    </w:p>
    <w:p>
      <w:pPr>
        <w:pStyle w:val="8"/>
        <w:spacing w:before="0" w:beforeAutospacing="0" w:after="0" w:afterAutospacing="0" w:line="560" w:lineRule="exact"/>
        <w:ind w:firstLine="640" w:firstLineChars="200"/>
        <w:jc w:val="both"/>
        <w:rPr>
          <w:rFonts w:ascii="仿宋" w:hAnsi="仿宋" w:eastAsia="仿宋" w:cs="Calibri"/>
          <w:color w:val="333333"/>
          <w:sz w:val="32"/>
          <w:szCs w:val="32"/>
        </w:rPr>
      </w:pPr>
      <w:r>
        <w:rPr>
          <w:rFonts w:hint="eastAsia" w:ascii="仿宋" w:hAnsi="仿宋" w:eastAsia="仿宋" w:cs="Calibri"/>
          <w:color w:val="333333"/>
          <w:sz w:val="32"/>
          <w:szCs w:val="32"/>
        </w:rPr>
        <w:t>3.乙方指派律师因重大工作失职、失误导致甲方及其服务对象蒙受损失，乙方应当通过其所投保的执业保险向甲方赔偿责任。执业保险赔偿部分不足于弥补甲方直接经济损失的，甲方有权就超出部分继续要求乙方赔偿。</w:t>
      </w:r>
    </w:p>
    <w:p>
      <w:pPr>
        <w:pStyle w:val="8"/>
        <w:spacing w:before="0" w:beforeAutospacing="0" w:after="0" w:afterAutospacing="0" w:line="560" w:lineRule="exact"/>
        <w:ind w:firstLine="643"/>
        <w:jc w:val="both"/>
        <w:rPr>
          <w:rFonts w:ascii="Calibri" w:hAnsi="Calibri" w:cs="Calibri"/>
          <w:color w:val="333333"/>
          <w:sz w:val="21"/>
          <w:szCs w:val="21"/>
        </w:rPr>
      </w:pPr>
      <w:r>
        <w:rPr>
          <w:rFonts w:hint="eastAsia" w:ascii="黑体" w:hAnsi="黑体" w:eastAsia="黑体" w:cs="Calibri"/>
          <w:b/>
          <w:bCs/>
          <w:color w:val="333333"/>
          <w:sz w:val="32"/>
          <w:szCs w:val="32"/>
        </w:rPr>
        <w:t>第十一条</w:t>
      </w:r>
      <w:r>
        <w:rPr>
          <w:rFonts w:ascii="Calibri" w:hAnsi="Calibri" w:eastAsia="仿宋" w:cs="Calibri"/>
          <w:color w:val="333333"/>
          <w:sz w:val="32"/>
          <w:szCs w:val="32"/>
        </w:rPr>
        <w:t>  </w:t>
      </w:r>
      <w:r>
        <w:rPr>
          <w:rFonts w:hint="eastAsia" w:ascii="仿宋" w:hAnsi="仿宋" w:eastAsia="仿宋" w:cs="Calibri"/>
          <w:color w:val="333333"/>
          <w:sz w:val="32"/>
          <w:szCs w:val="32"/>
        </w:rPr>
        <w:t>争议的解决</w:t>
      </w:r>
    </w:p>
    <w:p>
      <w:pPr>
        <w:pStyle w:val="8"/>
        <w:spacing w:before="0" w:beforeAutospacing="0" w:after="0" w:afterAutospacing="0" w:line="560" w:lineRule="exact"/>
        <w:ind w:firstLine="640"/>
        <w:jc w:val="both"/>
        <w:rPr>
          <w:rFonts w:ascii="Calibri" w:hAnsi="Calibri" w:cs="Calibri"/>
          <w:color w:val="333333"/>
          <w:sz w:val="21"/>
          <w:szCs w:val="21"/>
        </w:rPr>
      </w:pPr>
      <w:r>
        <w:rPr>
          <w:rFonts w:hint="eastAsia" w:ascii="仿宋" w:hAnsi="仿宋" w:eastAsia="仿宋" w:cs="Calibri"/>
          <w:color w:val="333333"/>
          <w:sz w:val="32"/>
          <w:szCs w:val="32"/>
        </w:rPr>
        <w:t>凡因本协议引起的或与本协议有关的任何争议，由双方友好协商解决。协商不成时，依法向</w:t>
      </w:r>
      <w:r>
        <w:rPr>
          <w:rFonts w:hint="eastAsia" w:ascii="Calibri" w:hAnsi="Calibri" w:eastAsia="仿宋" w:cs="Calibri"/>
          <w:color w:val="333333"/>
          <w:sz w:val="32"/>
          <w:szCs w:val="32"/>
        </w:rPr>
        <w:t>合同签订地</w:t>
      </w:r>
      <w:r>
        <w:rPr>
          <w:rFonts w:hint="eastAsia" w:ascii="仿宋" w:hAnsi="仿宋" w:eastAsia="仿宋" w:cs="Calibri"/>
          <w:color w:val="333333"/>
          <w:sz w:val="32"/>
          <w:szCs w:val="32"/>
        </w:rPr>
        <w:t>人民法院起诉。</w:t>
      </w:r>
    </w:p>
    <w:p>
      <w:pPr>
        <w:pStyle w:val="8"/>
        <w:spacing w:before="0" w:beforeAutospacing="0" w:after="0" w:afterAutospacing="0" w:line="560" w:lineRule="exact"/>
        <w:ind w:firstLine="643"/>
        <w:jc w:val="both"/>
        <w:rPr>
          <w:rFonts w:ascii="Calibri" w:hAnsi="Calibri" w:cs="Calibri"/>
          <w:color w:val="333333"/>
          <w:sz w:val="21"/>
          <w:szCs w:val="21"/>
        </w:rPr>
      </w:pPr>
      <w:r>
        <w:rPr>
          <w:rFonts w:hint="eastAsia" w:ascii="黑体" w:hAnsi="黑体" w:eastAsia="黑体" w:cs="Calibri"/>
          <w:b/>
          <w:bCs/>
          <w:color w:val="333333"/>
          <w:sz w:val="32"/>
          <w:szCs w:val="32"/>
        </w:rPr>
        <w:t>第十二条</w:t>
      </w:r>
      <w:r>
        <w:rPr>
          <w:rFonts w:ascii="Calibri" w:hAnsi="Calibri" w:eastAsia="仿宋" w:cs="Calibri"/>
          <w:color w:val="333333"/>
          <w:sz w:val="32"/>
          <w:szCs w:val="32"/>
        </w:rPr>
        <w:t>  </w:t>
      </w:r>
      <w:r>
        <w:rPr>
          <w:rFonts w:hint="eastAsia" w:ascii="仿宋" w:hAnsi="仿宋" w:eastAsia="仿宋" w:cs="Calibri"/>
          <w:color w:val="333333"/>
          <w:sz w:val="32"/>
          <w:szCs w:val="32"/>
        </w:rPr>
        <w:t>通知和送达</w:t>
      </w:r>
    </w:p>
    <w:p>
      <w:pPr>
        <w:pStyle w:val="8"/>
        <w:spacing w:before="0" w:beforeAutospacing="0" w:after="0" w:afterAutospacing="0" w:line="560" w:lineRule="exact"/>
        <w:ind w:firstLine="640"/>
        <w:jc w:val="both"/>
        <w:rPr>
          <w:rFonts w:ascii="Calibri" w:hAnsi="Calibri" w:cs="Calibri"/>
          <w:color w:val="333333"/>
          <w:sz w:val="21"/>
          <w:szCs w:val="21"/>
        </w:rPr>
      </w:pPr>
      <w:r>
        <w:rPr>
          <w:rFonts w:hint="eastAsia" w:ascii="仿宋" w:hAnsi="仿宋" w:eastAsia="仿宋" w:cs="Calibri"/>
          <w:color w:val="333333"/>
          <w:sz w:val="32"/>
          <w:szCs w:val="32"/>
        </w:rPr>
        <w:t>甲乙双方因履行本合同而相互发出或者提供的所有通知、文件、资料，均以本合同所列明的地址送达，任何一方变更通信地址或联系方式的，应当事先书面通知对方。</w:t>
      </w:r>
    </w:p>
    <w:p>
      <w:pPr>
        <w:pStyle w:val="8"/>
        <w:spacing w:before="0" w:beforeAutospacing="0" w:after="0" w:afterAutospacing="0" w:line="560" w:lineRule="exact"/>
        <w:ind w:firstLine="643"/>
        <w:jc w:val="both"/>
        <w:rPr>
          <w:rFonts w:ascii="Calibri" w:hAnsi="Calibri" w:cs="Calibri"/>
          <w:color w:val="333333"/>
          <w:sz w:val="21"/>
          <w:szCs w:val="21"/>
        </w:rPr>
      </w:pPr>
      <w:r>
        <w:rPr>
          <w:rFonts w:hint="eastAsia" w:ascii="黑体" w:hAnsi="黑体" w:eastAsia="黑体" w:cs="Calibri"/>
          <w:b/>
          <w:bCs/>
          <w:color w:val="333333"/>
          <w:sz w:val="32"/>
          <w:szCs w:val="32"/>
        </w:rPr>
        <w:t>第十三条</w:t>
      </w:r>
      <w:r>
        <w:rPr>
          <w:rFonts w:ascii="Calibri" w:hAnsi="Calibri" w:eastAsia="仿宋" w:cs="Calibri"/>
          <w:color w:val="333333"/>
          <w:sz w:val="32"/>
          <w:szCs w:val="32"/>
        </w:rPr>
        <w:t>  </w:t>
      </w:r>
      <w:r>
        <w:rPr>
          <w:rFonts w:hint="eastAsia" w:ascii="仿宋" w:hAnsi="仿宋" w:eastAsia="仿宋" w:cs="Calibri"/>
          <w:color w:val="333333"/>
          <w:sz w:val="32"/>
          <w:szCs w:val="32"/>
        </w:rPr>
        <w:t>其他事项</w:t>
      </w:r>
    </w:p>
    <w:p>
      <w:pPr>
        <w:pStyle w:val="8"/>
        <w:spacing w:before="0" w:beforeAutospacing="0" w:after="0" w:afterAutospacing="0" w:line="560" w:lineRule="exact"/>
        <w:ind w:firstLine="640"/>
        <w:jc w:val="both"/>
        <w:rPr>
          <w:rFonts w:ascii="Calibri" w:hAnsi="Calibri" w:cs="Calibri"/>
          <w:color w:val="333333"/>
          <w:sz w:val="21"/>
          <w:szCs w:val="21"/>
        </w:rPr>
      </w:pPr>
      <w:r>
        <w:rPr>
          <w:rFonts w:hint="eastAsia" w:ascii="仿宋" w:hAnsi="仿宋" w:eastAsia="仿宋" w:cs="Calibri"/>
          <w:color w:val="333333"/>
          <w:sz w:val="32"/>
          <w:szCs w:val="32"/>
        </w:rPr>
        <w:t>1.本合同经甲乙双方授权代表签字（或盖章）且盖公章（或合同专用章）后生效。</w:t>
      </w:r>
    </w:p>
    <w:p>
      <w:pPr>
        <w:pStyle w:val="8"/>
        <w:spacing w:before="0" w:beforeAutospacing="0" w:after="0" w:afterAutospacing="0" w:line="560" w:lineRule="exact"/>
        <w:ind w:firstLine="640"/>
        <w:jc w:val="both"/>
        <w:rPr>
          <w:rFonts w:ascii="仿宋" w:hAnsi="仿宋" w:eastAsia="仿宋" w:cs="Calibri"/>
          <w:color w:val="333333"/>
          <w:sz w:val="32"/>
          <w:szCs w:val="32"/>
        </w:rPr>
      </w:pPr>
      <w:r>
        <w:rPr>
          <w:rFonts w:hint="eastAsia" w:ascii="仿宋" w:hAnsi="仿宋" w:eastAsia="仿宋" w:cs="Calibri"/>
          <w:color w:val="333333"/>
          <w:sz w:val="32"/>
          <w:szCs w:val="32"/>
        </w:rPr>
        <w:t>2.本合同一式两份，双方各持一份。</w:t>
      </w:r>
    </w:p>
    <w:p>
      <w:pPr>
        <w:pStyle w:val="8"/>
        <w:spacing w:before="0" w:beforeAutospacing="0" w:after="0" w:afterAutospacing="0" w:line="560" w:lineRule="exact"/>
        <w:ind w:firstLine="640"/>
        <w:jc w:val="both"/>
        <w:rPr>
          <w:rFonts w:ascii="仿宋" w:hAnsi="仿宋" w:eastAsia="仿宋" w:cs="Calibri"/>
          <w:color w:val="333333"/>
          <w:sz w:val="32"/>
          <w:szCs w:val="32"/>
        </w:rPr>
      </w:pPr>
      <w:r>
        <w:rPr>
          <w:rFonts w:ascii="仿宋" w:hAnsi="仿宋" w:eastAsia="仿宋" w:cs="Calibri"/>
          <w:color w:val="333333"/>
          <w:sz w:val="32"/>
          <w:szCs w:val="32"/>
        </w:rPr>
        <w:t>（以下为签署部分）</w:t>
      </w:r>
    </w:p>
    <w:p>
      <w:pPr>
        <w:spacing w:line="560" w:lineRule="exact"/>
        <w:rPr>
          <w:rFonts w:ascii="仿宋_GB2312" w:hAnsi="仿宋_GB2312" w:eastAsia="仿宋_GB2312" w:cs="仿宋_GB2312"/>
          <w:sz w:val="28"/>
          <w:szCs w:val="28"/>
        </w:rPr>
      </w:pPr>
      <w:bookmarkStart w:id="0" w:name="OLE_LINK14"/>
      <w:bookmarkStart w:id="1" w:name="OLE_LINK15"/>
      <w:bookmarkStart w:id="2" w:name="OLE_LINK13"/>
      <w:bookmarkStart w:id="3" w:name="OLE_LINK16"/>
      <w:bookmarkStart w:id="4" w:name="OLE_LINK12"/>
      <w:r>
        <w:rPr>
          <w:rFonts w:hint="eastAsia" w:ascii="仿宋_GB2312" w:hAnsi="仿宋_GB2312" w:eastAsia="仿宋_GB2312" w:cs="仿宋_GB2312"/>
          <w:sz w:val="28"/>
          <w:szCs w:val="28"/>
        </w:rPr>
        <w:t>甲  方：                             乙  方：</w:t>
      </w:r>
      <w:bookmarkEnd w:id="0"/>
      <w:bookmarkEnd w:id="1"/>
      <w:bookmarkEnd w:id="2"/>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授权代表：                           授权代表：</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电  话：                             电  话：</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邮  箱：                             邮  箱：</w:t>
      </w:r>
    </w:p>
    <w:bookmarkEnd w:id="3"/>
    <w:bookmarkEnd w:id="4"/>
    <w:p>
      <w:pPr>
        <w:spacing w:line="560" w:lineRule="exact"/>
        <w:rPr>
          <w:rFonts w:ascii="仿宋_GB2312" w:hAnsi="仿宋_GB2312" w:eastAsia="仿宋_GB2312" w:cs="仿宋_GB2312"/>
          <w:sz w:val="28"/>
          <w:szCs w:val="28"/>
        </w:rPr>
      </w:pPr>
    </w:p>
    <w:p>
      <w:pPr>
        <w:spacing w:line="560" w:lineRule="exact"/>
        <w:ind w:firstLine="1120" w:firstLineChars="400"/>
      </w:pPr>
      <w:r>
        <w:rPr>
          <w:rFonts w:hint="eastAsia" w:ascii="仿宋_GB2312" w:hAnsi="仿宋_GB2312" w:eastAsia="仿宋_GB2312" w:cs="仿宋_GB2312"/>
          <w:sz w:val="28"/>
          <w:szCs w:val="28"/>
        </w:rPr>
        <w:t>签订日期：年   月  日</w:t>
      </w:r>
    </w:p>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汉仪中宋简">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7</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5A34782"/>
    <w:rsid w:val="000D061F"/>
    <w:rsid w:val="000D3E59"/>
    <w:rsid w:val="00252A60"/>
    <w:rsid w:val="002D382B"/>
    <w:rsid w:val="00343CC2"/>
    <w:rsid w:val="0035115B"/>
    <w:rsid w:val="00373D71"/>
    <w:rsid w:val="00487675"/>
    <w:rsid w:val="00497C82"/>
    <w:rsid w:val="004B42A0"/>
    <w:rsid w:val="00630819"/>
    <w:rsid w:val="00661160"/>
    <w:rsid w:val="00686A3C"/>
    <w:rsid w:val="0069126F"/>
    <w:rsid w:val="006D0325"/>
    <w:rsid w:val="00751ED5"/>
    <w:rsid w:val="00752B47"/>
    <w:rsid w:val="00815454"/>
    <w:rsid w:val="00892A4F"/>
    <w:rsid w:val="00914551"/>
    <w:rsid w:val="00927980"/>
    <w:rsid w:val="009968FD"/>
    <w:rsid w:val="009C3812"/>
    <w:rsid w:val="00B37CE8"/>
    <w:rsid w:val="00B738DC"/>
    <w:rsid w:val="00C14BD2"/>
    <w:rsid w:val="00C4006B"/>
    <w:rsid w:val="00C41D8F"/>
    <w:rsid w:val="00CB0085"/>
    <w:rsid w:val="00CD02B2"/>
    <w:rsid w:val="00D633C3"/>
    <w:rsid w:val="00D83764"/>
    <w:rsid w:val="00E74B18"/>
    <w:rsid w:val="00F36872"/>
    <w:rsid w:val="00F506BA"/>
    <w:rsid w:val="00F54E0B"/>
    <w:rsid w:val="00FA486C"/>
    <w:rsid w:val="05A34782"/>
    <w:rsid w:val="05DC2F28"/>
    <w:rsid w:val="121B2F96"/>
    <w:rsid w:val="1D667543"/>
    <w:rsid w:val="410B7BC2"/>
    <w:rsid w:val="43F5448B"/>
    <w:rsid w:val="4CA40D0E"/>
    <w:rsid w:val="4F344103"/>
    <w:rsid w:val="504852B0"/>
    <w:rsid w:val="53B10BF7"/>
    <w:rsid w:val="59DD3F12"/>
    <w:rsid w:val="5EDE0C92"/>
    <w:rsid w:val="65833911"/>
    <w:rsid w:val="6B8959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link w:val="11"/>
    <w:semiHidden/>
    <w:unhideWhenUsed/>
    <w:qFormat/>
    <w:uiPriority w:val="0"/>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endnote text"/>
    <w:basedOn w:val="1"/>
    <w:qFormat/>
    <w:uiPriority w:val="0"/>
    <w:pPr>
      <w:snapToGrid w:val="0"/>
      <w:jc w:val="left"/>
    </w:pPr>
  </w:style>
  <w:style w:type="paragraph" w:styleId="5">
    <w:name w:val="Balloon Text"/>
    <w:basedOn w:val="1"/>
    <w:next w:val="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标题 3 Char"/>
    <w:basedOn w:val="10"/>
    <w:link w:val="3"/>
    <w:semiHidden/>
    <w:uiPriority w:val="0"/>
    <w:rPr>
      <w:rFonts w:ascii="Calibri" w:hAnsi="Calibri" w:eastAsia="宋体" w:cs="Times New Roman"/>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15</Pages>
  <Words>961</Words>
  <Characters>5478</Characters>
  <Lines>45</Lines>
  <Paragraphs>12</Paragraphs>
  <TotalTime>318</TotalTime>
  <ScaleCrop>false</ScaleCrop>
  <LinksUpToDate>false</LinksUpToDate>
  <CharactersWithSpaces>6427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2021-04-15T05:03:00Z</dcterms:created>
  <dc:creator>Administrator</dc:creator>
  <cp:lastModifiedBy>娜娜</cp:lastModifiedBy>
  <cp:lastPrinted>2022-04-21T02:05:00Z</cp:lastPrinted>
  <dcterms:modified xsi:type="dcterms:W3CDTF">2022-04-29T04:29:19Z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