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lang w:bidi="ar"/>
        </w:rPr>
      </w:pPr>
      <w:r>
        <w:rPr>
          <w:rFonts w:hint="eastAsia" w:ascii="方正小标宋简体" w:hAnsi="Times New Roman" w:eastAsia="方正小标宋简体" w:cs="方正小标宋简体"/>
          <w:sz w:val="44"/>
          <w:szCs w:val="44"/>
          <w:lang w:bidi="ar"/>
        </w:rPr>
        <w:t xml:space="preserve">  </w:t>
      </w:r>
      <w:bookmarkStart w:id="5" w:name="_GoBack"/>
      <w:bookmarkEnd w:id="5"/>
      <w:r>
        <w:rPr>
          <w:rFonts w:hint="eastAsia" w:ascii="楷体_GB2312" w:hAnsi="仿宋" w:eastAsia="楷体_GB2312" w:cs="楷体_GB2312"/>
          <w:b/>
          <w:sz w:val="32"/>
          <w:szCs w:val="32"/>
          <w:lang w:bidi="ar"/>
        </w:rPr>
        <w:t>附件一：</w:t>
      </w:r>
      <w:r>
        <w:rPr>
          <w:rFonts w:hint="eastAsia" w:ascii="仿宋" w:hAnsi="仿宋" w:eastAsia="仿宋" w:cs="仿宋"/>
          <w:sz w:val="32"/>
          <w:szCs w:val="32"/>
          <w:lang w:bidi="ar"/>
        </w:rPr>
        <w:t xml:space="preserve">      </w:t>
      </w:r>
    </w:p>
    <w:p>
      <w:pPr>
        <w:jc w:val="center"/>
        <w:rPr>
          <w:rFonts w:ascii="仿宋" w:hAnsi="仿宋" w:eastAsia="仿宋" w:cs="仿宋"/>
          <w:sz w:val="32"/>
          <w:szCs w:val="32"/>
        </w:rPr>
      </w:pPr>
      <w:r>
        <w:rPr>
          <w:rFonts w:hint="eastAsia" w:ascii="仿宋" w:hAnsi="仿宋" w:eastAsia="仿宋" w:cs="仿宋"/>
          <w:sz w:val="32"/>
          <w:szCs w:val="32"/>
          <w:lang w:bidi="ar"/>
        </w:rPr>
        <w:t>龙岩交发资产运营有限公司2022年度法律顾问资格预审表</w:t>
      </w:r>
    </w:p>
    <w:tbl>
      <w:tblPr>
        <w:tblStyle w:val="8"/>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970"/>
        <w:gridCol w:w="1277"/>
        <w:gridCol w:w="861"/>
        <w:gridCol w:w="901"/>
        <w:gridCol w:w="1666"/>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11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4"/>
                <w:lang w:bidi="ar"/>
              </w:rPr>
              <w:t xml:space="preserve">  龙岩交发资产运营有限公司2022年度法律顾问资格预审表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b/>
                <w:color w:val="000000"/>
                <w:kern w:val="0"/>
                <w:sz w:val="24"/>
                <w:lang w:bidi="ar"/>
              </w:rPr>
              <w:t>律所名称（盖章）</w:t>
            </w:r>
          </w:p>
        </w:tc>
        <w:tc>
          <w:tcPr>
            <w:tcW w:w="22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4"/>
                <w:lang w:bidi="ar"/>
              </w:rPr>
              <w:t>负责人</w:t>
            </w: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4"/>
                <w:lang w:bidi="ar"/>
              </w:rPr>
              <w:t>成立时间</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4"/>
                <w:lang w:bidi="ar"/>
              </w:rPr>
              <w:t>执业律师人数</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4"/>
              </w:rPr>
            </w:pPr>
            <w:r>
              <w:rPr>
                <w:rFonts w:hint="eastAsia" w:ascii="仿宋" w:hAnsi="仿宋" w:eastAsia="仿宋" w:cs="仿宋"/>
                <w:b/>
                <w:color w:val="000000"/>
                <w:kern w:val="0"/>
                <w:sz w:val="24"/>
                <w:lang w:bidi="ar"/>
              </w:rPr>
              <w:t>获得荣誉（近三年）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9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22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rPr>
            </w:pP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4"/>
                <w:lang w:bidi="ar"/>
              </w:rPr>
              <w:t>律师团队</w:t>
            </w:r>
          </w:p>
        </w:tc>
        <w:tc>
          <w:tcPr>
            <w:tcW w:w="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4"/>
                <w:lang w:bidi="ar"/>
              </w:rPr>
              <w:t>总成员（人）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4"/>
                <w:lang w:bidi="ar"/>
              </w:rPr>
              <w:t>其中：10年以上执业经验</w:t>
            </w: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4"/>
                <w:lang w:bidi="ar"/>
              </w:rPr>
              <w:t>获得荣誉（近三年）</w:t>
            </w:r>
          </w:p>
        </w:tc>
        <w:tc>
          <w:tcPr>
            <w:tcW w:w="40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9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rPr>
            </w:pPr>
          </w:p>
        </w:tc>
        <w:tc>
          <w:tcPr>
            <w:tcW w:w="9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rPr>
            </w:pPr>
          </w:p>
        </w:tc>
        <w:tc>
          <w:tcPr>
            <w:tcW w:w="40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widowControl/>
              <w:jc w:val="center"/>
              <w:textAlignment w:val="center"/>
              <w:rPr>
                <w:rFonts w:ascii="仿宋" w:hAnsi="仿宋" w:eastAsia="仿宋" w:cs="仿宋"/>
                <w:sz w:val="24"/>
              </w:rPr>
            </w:pPr>
            <w:r>
              <w:rPr>
                <w:rFonts w:hint="eastAsia" w:ascii="仿宋" w:hAnsi="仿宋" w:eastAsia="仿宋" w:cs="仿宋"/>
                <w:b/>
                <w:color w:val="000000"/>
                <w:kern w:val="0"/>
                <w:sz w:val="24"/>
                <w:lang w:bidi="ar"/>
              </w:rPr>
              <w:t>律所、律师是否未受过司法行政部门的行政处罚或者律师协会的行业处分（近三年）</w:t>
            </w:r>
          </w:p>
        </w:tc>
        <w:tc>
          <w:tcPr>
            <w:tcW w:w="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24"/>
              </w:rPr>
            </w:pPr>
          </w:p>
        </w:tc>
        <w:tc>
          <w:tcPr>
            <w:tcW w:w="48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19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rPr>
            </w:pPr>
          </w:p>
        </w:tc>
        <w:tc>
          <w:tcPr>
            <w:tcW w:w="48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11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rPr>
            </w:pPr>
            <w:r>
              <w:rPr>
                <w:rFonts w:hint="eastAsia" w:ascii="仿宋" w:hAnsi="仿宋" w:eastAsia="仿宋" w:cs="仿宋"/>
                <w:b/>
                <w:bCs/>
                <w:sz w:val="24"/>
                <w:lang w:bidi="ar"/>
              </w:rPr>
              <w:t>服务优势（简要说明）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911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sz w:val="24"/>
              </w:rPr>
            </w:pPr>
          </w:p>
          <w:p>
            <w:pPr>
              <w:jc w:val="center"/>
              <w:rPr>
                <w:rFonts w:ascii="仿宋" w:hAnsi="仿宋" w:eastAsia="仿宋" w:cs="仿宋"/>
                <w:b/>
                <w:bCs/>
                <w:sz w:val="24"/>
              </w:rPr>
            </w:pPr>
          </w:p>
          <w:p>
            <w:pPr>
              <w:rPr>
                <w:rFonts w:ascii="仿宋" w:hAnsi="仿宋" w:eastAsia="仿宋" w:cs="仿宋"/>
                <w:b/>
                <w:bCs/>
                <w:sz w:val="24"/>
              </w:rPr>
            </w:pPr>
          </w:p>
          <w:p>
            <w:pPr>
              <w:jc w:val="center"/>
              <w:rPr>
                <w:rFonts w:ascii="仿宋" w:hAnsi="仿宋" w:eastAsia="仿宋" w:cs="仿宋"/>
                <w:b/>
                <w:bCs/>
                <w:sz w:val="24"/>
              </w:rPr>
            </w:pPr>
          </w:p>
          <w:p>
            <w:pPr>
              <w:jc w:val="center"/>
              <w:rPr>
                <w:rFonts w:ascii="仿宋" w:hAnsi="仿宋" w:eastAsia="仿宋" w:cs="仿宋"/>
                <w:sz w:val="24"/>
              </w:rPr>
            </w:pPr>
            <w:r>
              <w:rPr>
                <w:rFonts w:hint="eastAsia" w:ascii="仿宋" w:hAnsi="仿宋" w:eastAsia="仿宋" w:cs="仿宋"/>
                <w:b/>
                <w:bCs/>
                <w:sz w:val="24"/>
                <w:lang w:bidi="ar"/>
              </w:rPr>
              <w:t>（请在最后注明联系人和联系电话、地址）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11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9" w:hRule="atLeast"/>
        </w:trPr>
        <w:tc>
          <w:tcPr>
            <w:tcW w:w="911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rPr>
            </w:pPr>
          </w:p>
        </w:tc>
      </w:tr>
    </w:tbl>
    <w:p>
      <w:pPr>
        <w:pStyle w:val="7"/>
        <w:spacing w:beforeAutospacing="0" w:afterAutospacing="0" w:line="520" w:lineRule="exact"/>
        <w:rPr>
          <w:rFonts w:hint="default" w:ascii="仿宋" w:hAnsi="仿宋" w:eastAsia="仿宋"/>
          <w:kern w:val="2"/>
          <w:sz w:val="32"/>
          <w:szCs w:val="32"/>
        </w:rPr>
      </w:pPr>
      <w:r>
        <w:rPr>
          <w:rFonts w:ascii="楷体_GB2312" w:hAnsi="仿宋" w:eastAsia="楷体_GB2312"/>
          <w:b/>
          <w:kern w:val="2"/>
          <w:sz w:val="32"/>
          <w:szCs w:val="32"/>
        </w:rPr>
        <w:t>附件二：</w:t>
      </w:r>
      <w:r>
        <w:rPr>
          <w:rFonts w:ascii="仿宋" w:hAnsi="仿宋" w:eastAsia="仿宋"/>
          <w:kern w:val="2"/>
          <w:sz w:val="32"/>
          <w:szCs w:val="32"/>
        </w:rPr>
        <w:t>外聘法律顾问服务合同（稿）</w:t>
      </w:r>
    </w:p>
    <w:p>
      <w:pPr>
        <w:pStyle w:val="7"/>
        <w:spacing w:beforeAutospacing="0" w:afterAutospacing="0" w:line="520" w:lineRule="exact"/>
        <w:rPr>
          <w:rFonts w:hint="default" w:ascii="仿宋" w:hAnsi="仿宋" w:eastAsia="仿宋"/>
          <w:kern w:val="2"/>
          <w:sz w:val="32"/>
          <w:szCs w:val="32"/>
        </w:rPr>
      </w:pPr>
    </w:p>
    <w:p>
      <w:pPr>
        <w:pStyle w:val="7"/>
        <w:spacing w:beforeAutospacing="0" w:afterAutospacing="0" w:line="520" w:lineRule="exact"/>
        <w:ind w:firstLine="803"/>
        <w:jc w:val="center"/>
        <w:rPr>
          <w:rFonts w:hint="default" w:ascii="Calibri" w:hAnsi="Calibri" w:cs="Calibri"/>
          <w:color w:val="333333"/>
          <w:sz w:val="21"/>
          <w:szCs w:val="21"/>
        </w:rPr>
      </w:pPr>
      <w:r>
        <w:rPr>
          <w:rFonts w:ascii="汉仪中宋简" w:hAnsi="Calibri" w:eastAsia="汉仪中宋简" w:cs="Calibri"/>
          <w:b/>
          <w:bCs/>
          <w:color w:val="333333"/>
          <w:sz w:val="40"/>
          <w:szCs w:val="40"/>
        </w:rPr>
        <w:t>外聘法律顾问服务合同</w:t>
      </w:r>
    </w:p>
    <w:p>
      <w:pPr>
        <w:pStyle w:val="7"/>
        <w:spacing w:beforeAutospacing="0" w:afterAutospacing="0" w:line="520" w:lineRule="exact"/>
        <w:jc w:val="both"/>
        <w:rPr>
          <w:rFonts w:hint="default" w:ascii="Calibri" w:hAnsi="Calibri" w:cs="Calibri"/>
          <w:color w:val="333333"/>
          <w:sz w:val="21"/>
          <w:szCs w:val="21"/>
        </w:rPr>
      </w:pPr>
      <w:r>
        <w:rPr>
          <w:rFonts w:hint="default" w:ascii="Calibri" w:hAnsi="Calibri" w:cs="Calibri"/>
          <w:color w:val="333333"/>
          <w:sz w:val="32"/>
          <w:szCs w:val="32"/>
        </w:rPr>
        <w:t> </w:t>
      </w:r>
    </w:p>
    <w:p>
      <w:pPr>
        <w:pStyle w:val="7"/>
        <w:spacing w:beforeAutospacing="0" w:afterAutospacing="0" w:line="520" w:lineRule="exact"/>
        <w:jc w:val="both"/>
        <w:rPr>
          <w:rFonts w:hint="default" w:ascii="Calibri" w:hAnsi="Calibri" w:cs="Calibri"/>
          <w:color w:val="333333"/>
          <w:sz w:val="21"/>
          <w:szCs w:val="21"/>
        </w:rPr>
      </w:pPr>
      <w:r>
        <w:rPr>
          <w:rFonts w:ascii="仿宋" w:hAnsi="仿宋" w:eastAsia="仿宋" w:cs="Calibri"/>
          <w:color w:val="333333"/>
          <w:sz w:val="32"/>
          <w:szCs w:val="32"/>
        </w:rPr>
        <w:t>甲方（聘请方）：龙岩交发资产运营有限公司</w:t>
      </w:r>
    </w:p>
    <w:p>
      <w:pPr>
        <w:pStyle w:val="7"/>
        <w:spacing w:beforeAutospacing="0" w:afterAutospacing="0" w:line="520" w:lineRule="exact"/>
        <w:jc w:val="both"/>
        <w:rPr>
          <w:rFonts w:hint="default" w:ascii="Calibri" w:hAnsi="Calibri" w:cs="Calibri"/>
          <w:color w:val="333333"/>
          <w:sz w:val="21"/>
          <w:szCs w:val="21"/>
        </w:rPr>
      </w:pPr>
      <w:r>
        <w:rPr>
          <w:rFonts w:ascii="仿宋" w:hAnsi="仿宋" w:eastAsia="仿宋" w:cs="Calibri"/>
          <w:color w:val="333333"/>
          <w:sz w:val="32"/>
          <w:szCs w:val="32"/>
        </w:rPr>
        <w:t>法定代表人：</w:t>
      </w:r>
      <w:r>
        <w:rPr>
          <w:rFonts w:hint="default" w:ascii="Calibri" w:hAnsi="Calibri" w:eastAsia="仿宋" w:cs="Calibri"/>
          <w:color w:val="333333"/>
          <w:sz w:val="32"/>
          <w:szCs w:val="32"/>
        </w:rPr>
        <w:t>                  </w:t>
      </w:r>
      <w:r>
        <w:rPr>
          <w:rFonts w:hint="default" w:ascii="Calibri" w:hAnsi="Calibri" w:cs="Calibri"/>
          <w:color w:val="333333"/>
          <w:sz w:val="21"/>
          <w:szCs w:val="21"/>
        </w:rPr>
        <w:t xml:space="preserve"> </w:t>
      </w:r>
    </w:p>
    <w:p>
      <w:pPr>
        <w:pStyle w:val="7"/>
        <w:spacing w:beforeAutospacing="0" w:afterAutospacing="0" w:line="520" w:lineRule="exact"/>
        <w:jc w:val="both"/>
        <w:rPr>
          <w:rFonts w:hint="default" w:ascii="Calibri" w:hAnsi="Calibri" w:cs="Calibri"/>
          <w:color w:val="333333"/>
          <w:sz w:val="21"/>
          <w:szCs w:val="21"/>
        </w:rPr>
      </w:pPr>
      <w:r>
        <w:rPr>
          <w:rFonts w:ascii="仿宋" w:hAnsi="仿宋" w:eastAsia="仿宋" w:cs="Calibri"/>
          <w:color w:val="333333"/>
          <w:sz w:val="32"/>
          <w:szCs w:val="32"/>
        </w:rPr>
        <w:t>住所：</w:t>
      </w:r>
    </w:p>
    <w:p>
      <w:pPr>
        <w:pStyle w:val="7"/>
        <w:spacing w:beforeAutospacing="0" w:afterAutospacing="0" w:line="520" w:lineRule="exact"/>
        <w:jc w:val="both"/>
        <w:rPr>
          <w:rFonts w:hint="default" w:ascii="Calibri" w:hAnsi="Calibri" w:cs="Calibri"/>
          <w:color w:val="333333"/>
          <w:sz w:val="21"/>
          <w:szCs w:val="21"/>
        </w:rPr>
      </w:pPr>
      <w:r>
        <w:rPr>
          <w:rFonts w:ascii="仿宋" w:hAnsi="仿宋" w:eastAsia="仿宋" w:cs="Calibri"/>
          <w:color w:val="333333"/>
          <w:sz w:val="32"/>
          <w:szCs w:val="32"/>
        </w:rPr>
        <w:t>联系方式：</w:t>
      </w:r>
    </w:p>
    <w:p>
      <w:pPr>
        <w:pStyle w:val="7"/>
        <w:spacing w:beforeAutospacing="0" w:afterAutospacing="0" w:line="520" w:lineRule="exact"/>
        <w:jc w:val="both"/>
        <w:rPr>
          <w:rFonts w:hint="default" w:ascii="Calibri" w:hAnsi="Calibri" w:cs="Calibri"/>
          <w:color w:val="333333"/>
          <w:sz w:val="21"/>
          <w:szCs w:val="21"/>
        </w:rPr>
      </w:pPr>
      <w:r>
        <w:rPr>
          <w:rFonts w:hint="default" w:ascii="Calibri" w:hAnsi="Calibri" w:eastAsia="仿宋" w:cs="Calibri"/>
          <w:color w:val="333333"/>
          <w:sz w:val="32"/>
          <w:szCs w:val="32"/>
        </w:rPr>
        <w:t> </w:t>
      </w:r>
    </w:p>
    <w:p>
      <w:pPr>
        <w:pStyle w:val="7"/>
        <w:spacing w:beforeAutospacing="0" w:afterAutospacing="0" w:line="520" w:lineRule="exact"/>
        <w:jc w:val="both"/>
        <w:rPr>
          <w:rFonts w:hint="default" w:ascii="Calibri" w:hAnsi="Calibri" w:cs="Calibri"/>
          <w:color w:val="333333"/>
          <w:sz w:val="21"/>
          <w:szCs w:val="21"/>
        </w:rPr>
      </w:pPr>
      <w:r>
        <w:rPr>
          <w:rFonts w:ascii="仿宋" w:hAnsi="仿宋" w:eastAsia="仿宋" w:cs="Calibri"/>
          <w:color w:val="333333"/>
          <w:sz w:val="32"/>
          <w:szCs w:val="32"/>
        </w:rPr>
        <w:t>乙方（受聘方）：</w:t>
      </w:r>
      <w:r>
        <w:rPr>
          <w:rFonts w:hint="default" w:ascii="Calibri" w:hAnsi="Calibri" w:eastAsia="仿宋" w:cs="Calibri"/>
          <w:color w:val="333333"/>
          <w:sz w:val="32"/>
          <w:szCs w:val="32"/>
        </w:rPr>
        <w:t>                       </w:t>
      </w:r>
      <w:r>
        <w:rPr>
          <w:rFonts w:ascii="仿宋" w:hAnsi="仿宋" w:eastAsia="仿宋" w:cs="Calibri"/>
          <w:color w:val="333333"/>
          <w:sz w:val="32"/>
          <w:szCs w:val="32"/>
        </w:rPr>
        <w:t>律师事务所</w:t>
      </w:r>
    </w:p>
    <w:p>
      <w:pPr>
        <w:pStyle w:val="7"/>
        <w:spacing w:beforeAutospacing="0" w:afterAutospacing="0" w:line="520" w:lineRule="exact"/>
        <w:jc w:val="both"/>
        <w:rPr>
          <w:rFonts w:hint="default" w:ascii="Calibri" w:hAnsi="Calibri" w:cs="Calibri"/>
          <w:color w:val="333333"/>
          <w:sz w:val="21"/>
          <w:szCs w:val="21"/>
        </w:rPr>
      </w:pPr>
      <w:r>
        <w:rPr>
          <w:rFonts w:ascii="仿宋" w:hAnsi="仿宋" w:eastAsia="仿宋" w:cs="Calibri"/>
          <w:color w:val="333333"/>
          <w:sz w:val="32"/>
          <w:szCs w:val="32"/>
        </w:rPr>
        <w:t>负责人：</w:t>
      </w:r>
      <w:r>
        <w:rPr>
          <w:rFonts w:hint="default" w:ascii="Calibri" w:hAnsi="Calibri" w:eastAsia="仿宋" w:cs="Calibri"/>
          <w:color w:val="333333"/>
          <w:sz w:val="32"/>
          <w:szCs w:val="32"/>
        </w:rPr>
        <w:t>                      </w:t>
      </w:r>
      <w:r>
        <w:rPr>
          <w:rFonts w:hint="default" w:ascii="Calibri" w:hAnsi="Calibri" w:cs="Calibri"/>
          <w:color w:val="333333"/>
          <w:sz w:val="21"/>
          <w:szCs w:val="21"/>
        </w:rPr>
        <w:t xml:space="preserve"> </w:t>
      </w:r>
    </w:p>
    <w:p>
      <w:pPr>
        <w:pStyle w:val="7"/>
        <w:spacing w:beforeAutospacing="0" w:afterAutospacing="0" w:line="520" w:lineRule="exact"/>
        <w:jc w:val="both"/>
        <w:rPr>
          <w:rFonts w:hint="default" w:ascii="Calibri" w:hAnsi="Calibri" w:cs="Calibri"/>
          <w:color w:val="333333"/>
          <w:sz w:val="21"/>
          <w:szCs w:val="21"/>
        </w:rPr>
      </w:pPr>
      <w:r>
        <w:rPr>
          <w:rFonts w:ascii="仿宋" w:hAnsi="仿宋" w:eastAsia="仿宋" w:cs="Calibri"/>
          <w:color w:val="333333"/>
          <w:sz w:val="32"/>
          <w:szCs w:val="32"/>
        </w:rPr>
        <w:t>住所：</w:t>
      </w:r>
    </w:p>
    <w:p>
      <w:pPr>
        <w:pStyle w:val="7"/>
        <w:spacing w:beforeAutospacing="0" w:afterAutospacing="0" w:line="520" w:lineRule="exact"/>
        <w:jc w:val="both"/>
        <w:rPr>
          <w:rFonts w:hint="default" w:ascii="Calibri" w:hAnsi="Calibri" w:cs="Calibri"/>
          <w:color w:val="333333"/>
          <w:sz w:val="21"/>
          <w:szCs w:val="21"/>
        </w:rPr>
      </w:pPr>
      <w:r>
        <w:rPr>
          <w:rFonts w:ascii="仿宋" w:hAnsi="仿宋" w:eastAsia="仿宋" w:cs="Calibri"/>
          <w:color w:val="333333"/>
          <w:sz w:val="32"/>
          <w:szCs w:val="32"/>
        </w:rPr>
        <w:t>联系方式：</w:t>
      </w:r>
    </w:p>
    <w:p>
      <w:pPr>
        <w:pStyle w:val="7"/>
        <w:spacing w:beforeAutospacing="0" w:afterAutospacing="0" w:line="520" w:lineRule="exact"/>
        <w:jc w:val="both"/>
        <w:rPr>
          <w:rFonts w:hint="default" w:ascii="Calibri" w:hAnsi="Calibri" w:cs="Calibri"/>
          <w:color w:val="333333"/>
          <w:sz w:val="21"/>
          <w:szCs w:val="21"/>
        </w:rPr>
      </w:pPr>
      <w:r>
        <w:rPr>
          <w:rFonts w:hint="default" w:ascii="Calibri" w:hAnsi="Calibri" w:eastAsia="仿宋" w:cs="Calibri"/>
          <w:color w:val="333333"/>
          <w:sz w:val="32"/>
          <w:szCs w:val="32"/>
        </w:rPr>
        <w:t> </w:t>
      </w:r>
    </w:p>
    <w:p>
      <w:pPr>
        <w:pStyle w:val="7"/>
        <w:spacing w:beforeAutospacing="0" w:afterAutospacing="0" w:line="520" w:lineRule="exact"/>
        <w:ind w:firstLine="640"/>
        <w:jc w:val="both"/>
        <w:rPr>
          <w:rFonts w:hint="default" w:ascii="Calibri" w:hAnsi="Calibri" w:cs="Calibri"/>
          <w:color w:val="333333"/>
          <w:sz w:val="21"/>
          <w:szCs w:val="21"/>
        </w:rPr>
      </w:pPr>
      <w:r>
        <w:rPr>
          <w:rFonts w:ascii="仿宋" w:hAnsi="仿宋" w:eastAsia="仿宋" w:cs="Calibri"/>
          <w:color w:val="333333"/>
          <w:sz w:val="32"/>
          <w:szCs w:val="32"/>
        </w:rPr>
        <w:t>为全面推进依法治企，进一步发挥外聘法律顾问在企业治理和经营管理等重大事项中的法律审核把关作用，推进企业依法治理、依法合规经营、依法规范管理，根据《中华人民共和民法典》《中华人民共和国律师法》有关规定，甲乙双方就甲方聘请乙方律师担任法律顾问等相关事宜，按照平等自愿、诚实信用原则，经协商一致，订立本合同，供双方共同遵守。</w:t>
      </w:r>
    </w:p>
    <w:p>
      <w:pPr>
        <w:pStyle w:val="7"/>
        <w:spacing w:beforeAutospacing="0" w:afterAutospacing="0" w:line="520" w:lineRule="exact"/>
        <w:ind w:firstLine="640"/>
        <w:jc w:val="both"/>
        <w:rPr>
          <w:rFonts w:hint="default" w:ascii="仿宋" w:hAnsi="仿宋" w:eastAsia="仿宋" w:cs="Calibri"/>
          <w:color w:val="333333"/>
          <w:sz w:val="32"/>
          <w:szCs w:val="32"/>
        </w:rPr>
      </w:pPr>
      <w:r>
        <w:rPr>
          <w:rFonts w:ascii="黑体" w:eastAsia="黑体" w:cs="Calibri"/>
          <w:bCs/>
          <w:color w:val="333333"/>
          <w:sz w:val="32"/>
          <w:szCs w:val="32"/>
        </w:rPr>
        <w:t>第一条</w:t>
      </w:r>
      <w:r>
        <w:rPr>
          <w:rFonts w:hint="default" w:ascii="Calibri" w:hAnsi="Calibri" w:eastAsia="仿宋" w:cs="Calibri"/>
          <w:color w:val="333333"/>
          <w:sz w:val="32"/>
          <w:szCs w:val="32"/>
        </w:rPr>
        <w:t>  </w:t>
      </w:r>
      <w:r>
        <w:rPr>
          <w:rFonts w:ascii="仿宋" w:hAnsi="仿宋" w:eastAsia="仿宋" w:cs="Calibri"/>
          <w:color w:val="333333"/>
          <w:sz w:val="32"/>
          <w:szCs w:val="32"/>
        </w:rPr>
        <w:t>乙方接受甲方聘请，指派</w:t>
      </w:r>
      <w:r>
        <w:rPr>
          <w:rFonts w:ascii="仿宋" w:hAnsi="仿宋" w:eastAsia="仿宋" w:cs="Calibri"/>
          <w:color w:val="333333"/>
          <w:sz w:val="32"/>
          <w:szCs w:val="32"/>
          <w:u w:val="single"/>
        </w:rPr>
        <w:t xml:space="preserve">          </w:t>
      </w:r>
      <w:r>
        <w:rPr>
          <w:rFonts w:ascii="仿宋" w:hAnsi="仿宋" w:eastAsia="仿宋" w:cs="Calibri"/>
          <w:color w:val="333333"/>
          <w:sz w:val="32"/>
          <w:szCs w:val="32"/>
        </w:rPr>
        <w:t>等律师担任甲方的外聘法律顾问（其中指定</w:t>
      </w:r>
      <w:r>
        <w:rPr>
          <w:rFonts w:ascii="仿宋" w:hAnsi="仿宋" w:eastAsia="仿宋" w:cs="Calibri"/>
          <w:color w:val="333333"/>
          <w:sz w:val="32"/>
          <w:szCs w:val="32"/>
          <w:u w:val="single"/>
        </w:rPr>
        <w:t xml:space="preserve">       </w:t>
      </w:r>
      <w:r>
        <w:rPr>
          <w:rFonts w:ascii="仿宋" w:hAnsi="仿宋" w:eastAsia="仿宋" w:cs="Calibri"/>
          <w:color w:val="333333"/>
          <w:sz w:val="32"/>
          <w:szCs w:val="32"/>
        </w:rPr>
        <w:t>律师为主办律师），并由前述律师根据工作需要组成律师团队，解决甲方法律事务中的专业要求强、工作量大及疑难复杂的问题。</w:t>
      </w:r>
    </w:p>
    <w:p>
      <w:pPr>
        <w:pStyle w:val="7"/>
        <w:spacing w:beforeAutospacing="0" w:afterAutospacing="0" w:line="520" w:lineRule="exact"/>
        <w:ind w:firstLine="640"/>
        <w:jc w:val="both"/>
        <w:rPr>
          <w:rFonts w:hint="default" w:ascii="仿宋" w:hAnsi="仿宋" w:eastAsia="仿宋" w:cs="Calibri"/>
          <w:color w:val="333333"/>
          <w:sz w:val="32"/>
          <w:szCs w:val="32"/>
        </w:rPr>
      </w:pPr>
      <w:r>
        <w:rPr>
          <w:rFonts w:ascii="仿宋" w:hAnsi="仿宋" w:eastAsia="仿宋" w:cs="Calibri"/>
          <w:color w:val="333333"/>
          <w:sz w:val="32"/>
          <w:szCs w:val="32"/>
        </w:rPr>
        <w:t>乙方律师资质需经甲方认可，且若指派律师离职，乙方应及时通知甲方并限期更换律师（重新更换的律师工作能力、资质要求等均不低于原指派律师，并且应取得甲方认可），不得对甲方工作造成影响。</w:t>
      </w:r>
    </w:p>
    <w:p>
      <w:pPr>
        <w:pStyle w:val="7"/>
        <w:spacing w:beforeAutospacing="0" w:afterAutospacing="0" w:line="520" w:lineRule="exact"/>
        <w:ind w:firstLine="643"/>
        <w:jc w:val="both"/>
        <w:rPr>
          <w:rFonts w:hint="default" w:ascii="黑体" w:eastAsia="黑体" w:cs="Calibri"/>
          <w:bCs/>
          <w:color w:val="333333"/>
          <w:sz w:val="32"/>
          <w:szCs w:val="32"/>
        </w:rPr>
      </w:pPr>
      <w:r>
        <w:rPr>
          <w:rFonts w:ascii="黑体" w:eastAsia="黑体" w:cs="Calibri"/>
          <w:bCs/>
          <w:color w:val="333333"/>
          <w:sz w:val="32"/>
          <w:szCs w:val="32"/>
        </w:rPr>
        <w:t>第二条</w:t>
      </w:r>
      <w:r>
        <w:rPr>
          <w:rFonts w:hint="default" w:ascii="Calibri" w:hAnsi="Calibri" w:eastAsia="仿宋" w:cs="Calibri"/>
          <w:color w:val="333333"/>
          <w:sz w:val="32"/>
          <w:szCs w:val="32"/>
        </w:rPr>
        <w:t>  </w:t>
      </w:r>
      <w:r>
        <w:rPr>
          <w:rFonts w:ascii="黑体" w:eastAsia="黑体" w:cs="Calibri"/>
          <w:bCs/>
          <w:color w:val="333333"/>
          <w:sz w:val="32"/>
          <w:szCs w:val="32"/>
        </w:rPr>
        <w:t>法律顾问服务范围</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lang w:bidi="ar"/>
        </w:rPr>
        <w:t>1.为甲方及其关联企业日常经营和管理方面涉及的法律问题提供法律咨询、解答；</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lang w:bidi="ar"/>
        </w:rPr>
        <w:t>2.为甲方及其关联企业重大决策、重大项目、重大疑难问题等出具书面法律意见和合理化建议；</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lang w:bidi="ar"/>
        </w:rPr>
        <w:t>3.参与甲方及其关联企业重要经济活动的磋商、谈判，进行法律分析和论证，根据需要及时出具书面法律意见；</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lang w:bidi="ar"/>
        </w:rPr>
        <w:t xml:space="preserve">4.协助甲方及关联企业建立或完善合同管理相关制度，为公司提供常用合同范本，参与公司对外合同及相关法律文书的起草、修改工作，及时提出合同审核意见； </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lang w:bidi="ar"/>
        </w:rPr>
        <w:t>5.为甲方及其关联企业就已经面临或者可能产生的各类纠纷，进行法律论证，提出书面解决方案，并根据需要参与协调或起草、发出律师函；</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lang w:bidi="ar"/>
        </w:rPr>
        <w:t>6.为甲方及其关联属企业审查公司章程、公司股东会、董事会、监事会决议、提交给政府部门的法律文件、重大商业往来函件等；</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lang w:bidi="ar"/>
        </w:rPr>
        <w:t>7.参与起草、审核甲方及其关联企业重要的规章制度及规范性文件；</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lang w:bidi="ar"/>
        </w:rPr>
        <w:t>8.配合甲方及其关联企业开展法制宣传教育和法律培训（每年不少于二次）；</w:t>
      </w:r>
    </w:p>
    <w:p>
      <w:pPr>
        <w:pStyle w:val="4"/>
        <w:widowControl/>
        <w:spacing w:line="520" w:lineRule="exact"/>
        <w:ind w:firstLine="640"/>
        <w:rPr>
          <w:rFonts w:ascii="仿宋" w:hAnsi="仿宋" w:eastAsia="仿宋" w:cs="仿宋"/>
          <w:sz w:val="32"/>
          <w:szCs w:val="32"/>
        </w:rPr>
      </w:pPr>
      <w:r>
        <w:rPr>
          <w:rFonts w:hint="eastAsia" w:ascii="仿宋" w:hAnsi="仿宋" w:eastAsia="仿宋" w:cs="仿宋"/>
          <w:sz w:val="32"/>
          <w:szCs w:val="32"/>
        </w:rPr>
        <w:t>9.与司法机关及相关政府部门保持沟通，为甲方创造良好的司法环境；</w:t>
      </w:r>
    </w:p>
    <w:p>
      <w:pPr>
        <w:spacing w:line="520" w:lineRule="exact"/>
        <w:ind w:left="640"/>
        <w:rPr>
          <w:rFonts w:ascii="仿宋" w:hAnsi="仿宋" w:eastAsia="仿宋" w:cs="仿宋"/>
          <w:sz w:val="32"/>
          <w:szCs w:val="32"/>
        </w:rPr>
      </w:pPr>
      <w:r>
        <w:rPr>
          <w:rFonts w:hint="eastAsia" w:ascii="仿宋" w:hAnsi="仿宋" w:eastAsia="仿宋" w:cs="仿宋"/>
          <w:sz w:val="32"/>
          <w:szCs w:val="32"/>
          <w:lang w:bidi="ar"/>
        </w:rPr>
        <w:t>10.甲方交办及依照聘用合同约定的其他法律事务。</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lang w:bidi="ar"/>
        </w:rPr>
        <w:t>上述服务，公司需要乙方出具书面律师意见书、合同审核意见等的，乙方一般反馈时间不超过2个工作日，不能及时处理的，应当及时说明，或另行安排人员妥善处理。第2-4项法律服务中，如应甲方要求乙方指派律师参与磋商、谈判的，应及时列席参加。</w:t>
      </w:r>
    </w:p>
    <w:p>
      <w:pPr>
        <w:pStyle w:val="4"/>
        <w:widowControl/>
        <w:spacing w:line="520" w:lineRule="exact"/>
        <w:ind w:firstLine="640"/>
        <w:rPr>
          <w:rFonts w:ascii="黑体" w:hAnsi="宋体" w:eastAsia="黑体" w:cs="Calibri"/>
          <w:bCs/>
          <w:color w:val="333333"/>
          <w:kern w:val="0"/>
          <w:sz w:val="32"/>
          <w:szCs w:val="32"/>
        </w:rPr>
      </w:pPr>
      <w:r>
        <w:rPr>
          <w:rFonts w:hint="eastAsia" w:ascii="黑体" w:hAnsi="宋体" w:eastAsia="黑体" w:cs="Calibri"/>
          <w:bCs/>
          <w:color w:val="333333"/>
          <w:kern w:val="0"/>
          <w:sz w:val="32"/>
          <w:szCs w:val="32"/>
        </w:rPr>
        <w:t>第三条</w:t>
      </w:r>
      <w:r>
        <w:rPr>
          <w:rFonts w:hint="eastAsia" w:ascii="黑体" w:hAnsi="宋体" w:eastAsia="黑体" w:cs="Calibri"/>
          <w:b/>
          <w:bCs/>
          <w:color w:val="333333"/>
          <w:kern w:val="0"/>
          <w:sz w:val="32"/>
          <w:szCs w:val="32"/>
        </w:rPr>
        <w:t xml:space="preserve"> </w:t>
      </w:r>
      <w:r>
        <w:rPr>
          <w:rFonts w:hint="eastAsia" w:ascii="黑体" w:hAnsi="宋体" w:eastAsia="黑体" w:cs="Calibri"/>
          <w:bCs/>
          <w:color w:val="333333"/>
          <w:kern w:val="0"/>
          <w:sz w:val="32"/>
          <w:szCs w:val="32"/>
        </w:rPr>
        <w:t>法律顾问服务对象</w:t>
      </w:r>
    </w:p>
    <w:p>
      <w:pPr>
        <w:pStyle w:val="4"/>
        <w:widowControl/>
        <w:spacing w:line="520" w:lineRule="exact"/>
        <w:ind w:firstLine="640"/>
        <w:rPr>
          <w:rFonts w:ascii="黑体" w:hAnsi="宋体" w:eastAsia="黑体" w:cs="Calibri"/>
          <w:bCs/>
          <w:color w:val="333333"/>
          <w:kern w:val="0"/>
          <w:sz w:val="32"/>
          <w:szCs w:val="32"/>
        </w:rPr>
      </w:pPr>
      <w:r>
        <w:rPr>
          <w:rFonts w:hint="eastAsia" w:ascii="仿宋" w:hAnsi="仿宋" w:eastAsia="仿宋" w:cs="Calibri"/>
          <w:bCs/>
          <w:color w:val="333333"/>
          <w:sz w:val="32"/>
          <w:szCs w:val="32"/>
        </w:rPr>
        <w:t>包括甲方本部及其关联企业：</w:t>
      </w:r>
      <w:r>
        <w:rPr>
          <w:rFonts w:hint="eastAsia" w:ascii="仿宋" w:hAnsi="仿宋" w:eastAsia="仿宋" w:cs="Calibri"/>
          <w:bCs/>
          <w:color w:val="333333"/>
          <w:sz w:val="32"/>
          <w:szCs w:val="32"/>
          <w:u w:val="single"/>
        </w:rPr>
        <w:t xml:space="preserve">龙岩交发资产运营有限公司本部；全资子公司：武平嘉盛房地产开发有限公司、武平嘉宏房地产开发有限公司、福建海盛房地产开发有限公司；参股企业：福建美嘉龙建材有限公司、龙岩沁欣物业服务有限公司。 </w:t>
      </w:r>
    </w:p>
    <w:p>
      <w:pPr>
        <w:pStyle w:val="4"/>
        <w:widowControl/>
        <w:spacing w:line="520" w:lineRule="exact"/>
        <w:ind w:firstLine="640"/>
        <w:rPr>
          <w:rFonts w:ascii="黑体" w:hAnsi="宋体" w:eastAsia="黑体" w:cs="Calibri"/>
          <w:bCs/>
          <w:color w:val="333333"/>
          <w:kern w:val="0"/>
          <w:sz w:val="32"/>
          <w:szCs w:val="32"/>
        </w:rPr>
      </w:pPr>
      <w:r>
        <w:rPr>
          <w:rFonts w:hint="eastAsia" w:ascii="黑体" w:hAnsi="宋体" w:eastAsia="黑体" w:cs="Calibri"/>
          <w:bCs/>
          <w:color w:val="333333"/>
          <w:kern w:val="0"/>
          <w:sz w:val="32"/>
          <w:szCs w:val="32"/>
        </w:rPr>
        <w:t>第四条 甲方的权利义务</w:t>
      </w:r>
    </w:p>
    <w:p>
      <w:pPr>
        <w:pStyle w:val="7"/>
        <w:spacing w:beforeAutospacing="0" w:afterAutospacing="0" w:line="520" w:lineRule="exact"/>
        <w:ind w:firstLine="640"/>
        <w:jc w:val="both"/>
        <w:rPr>
          <w:rFonts w:hint="default" w:ascii="仿宋" w:hAnsi="仿宋" w:eastAsia="仿宋" w:cs="Calibri"/>
          <w:color w:val="333333"/>
          <w:sz w:val="32"/>
          <w:szCs w:val="32"/>
        </w:rPr>
      </w:pPr>
      <w:r>
        <w:rPr>
          <w:rFonts w:ascii="仿宋" w:hAnsi="仿宋" w:eastAsia="仿宋" w:cs="Calibri"/>
          <w:color w:val="333333"/>
          <w:sz w:val="32"/>
          <w:szCs w:val="32"/>
        </w:rPr>
        <w:t>1.甲方有权要求乙方指派律师报告委托事项或工作进程，提交阶段性法律顾问工作报告；</w:t>
      </w:r>
    </w:p>
    <w:p>
      <w:pPr>
        <w:pStyle w:val="7"/>
        <w:spacing w:beforeAutospacing="0" w:afterAutospacing="0" w:line="520" w:lineRule="exact"/>
        <w:ind w:firstLine="640"/>
        <w:jc w:val="both"/>
        <w:rPr>
          <w:rFonts w:hint="default" w:ascii="仿宋" w:hAnsi="仿宋" w:eastAsia="仿宋" w:cs="Calibri"/>
          <w:color w:val="333333"/>
          <w:sz w:val="32"/>
          <w:szCs w:val="32"/>
        </w:rPr>
      </w:pPr>
      <w:r>
        <w:rPr>
          <w:rFonts w:ascii="仿宋" w:hAnsi="仿宋" w:eastAsia="仿宋" w:cs="Calibri"/>
          <w:color w:val="333333"/>
          <w:sz w:val="32"/>
          <w:szCs w:val="32"/>
        </w:rPr>
        <w:t>2.甲方有权对乙方及其指派律师的工作情况考核评价；</w:t>
      </w:r>
    </w:p>
    <w:p>
      <w:pPr>
        <w:pStyle w:val="7"/>
        <w:spacing w:beforeAutospacing="0" w:afterAutospacing="0" w:line="520" w:lineRule="exact"/>
        <w:ind w:firstLine="640"/>
        <w:jc w:val="both"/>
        <w:rPr>
          <w:rFonts w:hint="default" w:ascii="仿宋" w:hAnsi="仿宋" w:eastAsia="仿宋" w:cs="Calibri"/>
          <w:color w:val="333333"/>
          <w:sz w:val="32"/>
          <w:szCs w:val="32"/>
        </w:rPr>
      </w:pPr>
      <w:r>
        <w:rPr>
          <w:rFonts w:ascii="仿宋" w:hAnsi="仿宋" w:eastAsia="仿宋" w:cs="Calibri"/>
          <w:color w:val="333333"/>
          <w:sz w:val="32"/>
          <w:szCs w:val="32"/>
        </w:rPr>
        <w:t>3.甲方认为乙方指派律师不合格的，有权要求更换；</w:t>
      </w:r>
    </w:p>
    <w:p>
      <w:pPr>
        <w:pStyle w:val="7"/>
        <w:spacing w:beforeAutospacing="0" w:afterAutospacing="0" w:line="520" w:lineRule="exact"/>
        <w:ind w:firstLine="640"/>
        <w:jc w:val="both"/>
        <w:rPr>
          <w:rFonts w:hint="default" w:ascii="仿宋" w:hAnsi="仿宋" w:eastAsia="仿宋" w:cs="Calibri"/>
          <w:color w:val="333333"/>
          <w:sz w:val="32"/>
          <w:szCs w:val="32"/>
        </w:rPr>
      </w:pPr>
      <w:r>
        <w:rPr>
          <w:rFonts w:ascii="仿宋" w:hAnsi="仿宋" w:eastAsia="仿宋" w:cs="Calibri"/>
          <w:color w:val="333333"/>
          <w:sz w:val="32"/>
          <w:szCs w:val="32"/>
        </w:rPr>
        <w:t>4.甲方对乙方及其指派律师履行法律审核把关职责提供保障和支持；</w:t>
      </w:r>
    </w:p>
    <w:p>
      <w:pPr>
        <w:pStyle w:val="7"/>
        <w:spacing w:beforeAutospacing="0" w:afterAutospacing="0" w:line="520" w:lineRule="exact"/>
        <w:ind w:firstLine="640"/>
        <w:jc w:val="both"/>
        <w:rPr>
          <w:rFonts w:hint="default" w:ascii="仿宋" w:hAnsi="仿宋" w:eastAsia="仿宋" w:cs="Calibri"/>
          <w:color w:val="333333"/>
          <w:sz w:val="32"/>
          <w:szCs w:val="32"/>
        </w:rPr>
      </w:pPr>
      <w:r>
        <w:rPr>
          <w:rFonts w:ascii="仿宋" w:hAnsi="仿宋" w:eastAsia="仿宋" w:cs="Calibri"/>
          <w:color w:val="333333"/>
          <w:sz w:val="32"/>
          <w:szCs w:val="32"/>
        </w:rPr>
        <w:t>5.甲方应当按照合同约定支付法律顾问费和律师费；</w:t>
      </w:r>
    </w:p>
    <w:p>
      <w:pPr>
        <w:pStyle w:val="7"/>
        <w:spacing w:beforeAutospacing="0" w:afterAutospacing="0" w:line="520" w:lineRule="exact"/>
        <w:ind w:firstLine="640"/>
        <w:jc w:val="both"/>
        <w:rPr>
          <w:rFonts w:hint="default" w:ascii="仿宋" w:hAnsi="仿宋" w:eastAsia="仿宋" w:cs="Calibri"/>
          <w:color w:val="333333"/>
          <w:sz w:val="32"/>
          <w:szCs w:val="32"/>
        </w:rPr>
      </w:pPr>
      <w:r>
        <w:rPr>
          <w:rFonts w:ascii="仿宋" w:hAnsi="仿宋" w:eastAsia="仿宋" w:cs="Calibri"/>
          <w:color w:val="333333"/>
          <w:sz w:val="32"/>
          <w:szCs w:val="32"/>
        </w:rPr>
        <w:t>6.法律法规规定或本合同约定的其他权利义务。</w:t>
      </w:r>
    </w:p>
    <w:p>
      <w:pPr>
        <w:pStyle w:val="4"/>
        <w:widowControl/>
        <w:spacing w:line="520" w:lineRule="exact"/>
        <w:ind w:firstLine="640"/>
        <w:rPr>
          <w:rFonts w:ascii="黑体" w:hAnsi="宋体" w:eastAsia="黑体" w:cs="Calibri"/>
          <w:bCs/>
          <w:color w:val="333333"/>
          <w:kern w:val="0"/>
          <w:sz w:val="32"/>
          <w:szCs w:val="32"/>
        </w:rPr>
      </w:pPr>
      <w:r>
        <w:rPr>
          <w:rFonts w:hint="eastAsia" w:ascii="黑体" w:hAnsi="宋体" w:eastAsia="黑体" w:cs="Calibri"/>
          <w:bCs/>
          <w:color w:val="333333"/>
          <w:kern w:val="0"/>
          <w:sz w:val="32"/>
          <w:szCs w:val="32"/>
        </w:rPr>
        <w:t>第五条 乙方及其指派律师的权利义务</w:t>
      </w:r>
    </w:p>
    <w:p>
      <w:pPr>
        <w:pStyle w:val="7"/>
        <w:spacing w:beforeAutospacing="0" w:afterAutospacing="0" w:line="520" w:lineRule="exact"/>
        <w:ind w:firstLine="640"/>
        <w:jc w:val="both"/>
        <w:rPr>
          <w:rFonts w:hint="default" w:ascii="仿宋" w:hAnsi="仿宋" w:eastAsia="仿宋" w:cs="Calibri"/>
          <w:color w:val="333333"/>
          <w:sz w:val="32"/>
          <w:szCs w:val="32"/>
        </w:rPr>
      </w:pPr>
      <w:r>
        <w:rPr>
          <w:rFonts w:ascii="仿宋" w:hAnsi="仿宋" w:eastAsia="仿宋" w:cs="Calibri"/>
          <w:color w:val="333333"/>
          <w:sz w:val="32"/>
          <w:szCs w:val="32"/>
        </w:rPr>
        <w:t>1.乙方有权基于履行法律顾问职责需要向甲方了解相关情况；</w:t>
      </w:r>
    </w:p>
    <w:p>
      <w:pPr>
        <w:pStyle w:val="7"/>
        <w:spacing w:beforeAutospacing="0" w:afterAutospacing="0" w:line="520" w:lineRule="exact"/>
        <w:ind w:firstLine="640"/>
        <w:jc w:val="both"/>
        <w:rPr>
          <w:rFonts w:hint="default" w:ascii="仿宋" w:hAnsi="仿宋" w:eastAsia="仿宋" w:cs="Calibri"/>
          <w:color w:val="333333"/>
          <w:sz w:val="32"/>
          <w:szCs w:val="32"/>
        </w:rPr>
      </w:pPr>
      <w:r>
        <w:rPr>
          <w:rFonts w:ascii="仿宋" w:hAnsi="仿宋" w:eastAsia="仿宋" w:cs="Calibri"/>
          <w:color w:val="333333"/>
          <w:sz w:val="32"/>
          <w:szCs w:val="32"/>
        </w:rPr>
        <w:t>2.乙方及其指派律师应严格遵守国家法律规定与律师执业规范要求，恪守律师职业道德和执业纪律；</w:t>
      </w:r>
    </w:p>
    <w:p>
      <w:pPr>
        <w:pStyle w:val="7"/>
        <w:spacing w:beforeAutospacing="0" w:afterAutospacing="0" w:line="520" w:lineRule="exact"/>
        <w:ind w:firstLine="640"/>
        <w:jc w:val="both"/>
        <w:rPr>
          <w:rFonts w:hint="default" w:ascii="仿宋" w:hAnsi="仿宋" w:eastAsia="仿宋" w:cs="Calibri"/>
          <w:color w:val="333333"/>
          <w:sz w:val="32"/>
          <w:szCs w:val="32"/>
        </w:rPr>
      </w:pPr>
      <w:r>
        <w:rPr>
          <w:rFonts w:ascii="仿宋" w:hAnsi="仿宋" w:eastAsia="仿宋" w:cs="Calibri"/>
          <w:color w:val="333333"/>
          <w:sz w:val="32"/>
          <w:szCs w:val="32"/>
        </w:rPr>
        <w:t>5.乙方指派律师应依法履行约定的法律顾问职责，勤勉尽责完成甲方法律事务工作，尽最大努力维护公司权益；</w:t>
      </w:r>
    </w:p>
    <w:p>
      <w:pPr>
        <w:pStyle w:val="7"/>
        <w:spacing w:beforeAutospacing="0" w:afterAutospacing="0" w:line="520" w:lineRule="exact"/>
        <w:ind w:firstLine="640"/>
        <w:jc w:val="both"/>
        <w:rPr>
          <w:rFonts w:hint="default" w:ascii="仿宋" w:hAnsi="仿宋" w:eastAsia="仿宋" w:cs="Calibri"/>
          <w:color w:val="333333"/>
          <w:sz w:val="32"/>
          <w:szCs w:val="32"/>
        </w:rPr>
      </w:pPr>
      <w:r>
        <w:rPr>
          <w:rFonts w:ascii="仿宋" w:hAnsi="仿宋" w:eastAsia="仿宋" w:cs="Calibri"/>
          <w:color w:val="333333"/>
          <w:sz w:val="32"/>
          <w:szCs w:val="32"/>
        </w:rPr>
        <w:t>6.乙方指派律师应当在取得公司提供的文件资料后，及时完成委托法律服务事项，并应公司要求报告工作进程；</w:t>
      </w:r>
    </w:p>
    <w:p>
      <w:pPr>
        <w:pStyle w:val="7"/>
        <w:spacing w:beforeAutospacing="0" w:afterAutospacing="0" w:line="520" w:lineRule="exact"/>
        <w:ind w:firstLine="640"/>
        <w:jc w:val="both"/>
        <w:rPr>
          <w:rFonts w:hint="default" w:ascii="仿宋" w:hAnsi="仿宋" w:eastAsia="仿宋" w:cs="Calibri"/>
          <w:color w:val="333333"/>
          <w:sz w:val="32"/>
          <w:szCs w:val="32"/>
        </w:rPr>
      </w:pPr>
      <w:r>
        <w:rPr>
          <w:rFonts w:ascii="仿宋" w:hAnsi="仿宋" w:eastAsia="仿宋" w:cs="Calibri"/>
          <w:color w:val="333333"/>
          <w:sz w:val="32"/>
          <w:szCs w:val="32"/>
        </w:rPr>
        <w:t>7.乙方对提出的法律意见、起草的法律文书以及办理的其他法律事务的合法性负责；</w:t>
      </w:r>
    </w:p>
    <w:p>
      <w:pPr>
        <w:pStyle w:val="7"/>
        <w:spacing w:beforeAutospacing="0" w:afterAutospacing="0" w:line="520" w:lineRule="exact"/>
        <w:ind w:firstLine="640"/>
        <w:jc w:val="both"/>
        <w:rPr>
          <w:rFonts w:hint="default" w:ascii="仿宋" w:hAnsi="仿宋" w:eastAsia="仿宋" w:cs="Calibri"/>
          <w:color w:val="333333"/>
          <w:sz w:val="32"/>
          <w:szCs w:val="32"/>
        </w:rPr>
      </w:pPr>
      <w:r>
        <w:rPr>
          <w:rFonts w:ascii="仿宋" w:hAnsi="仿宋" w:eastAsia="仿宋" w:cs="Calibri"/>
          <w:color w:val="333333"/>
          <w:sz w:val="32"/>
          <w:szCs w:val="32"/>
        </w:rPr>
        <w:t>8.乙方及其指派律师对在提供法律服务过程中知悉的国家秘密和甲方商业秘密负有保密义务的，应另行签订保密承诺书；</w:t>
      </w:r>
    </w:p>
    <w:p>
      <w:pPr>
        <w:pStyle w:val="7"/>
        <w:spacing w:beforeAutospacing="0" w:afterAutospacing="0" w:line="520" w:lineRule="exact"/>
        <w:ind w:firstLine="640"/>
        <w:jc w:val="both"/>
        <w:rPr>
          <w:rFonts w:hint="default" w:ascii="仿宋" w:hAnsi="仿宋" w:eastAsia="仿宋" w:cs="Calibri"/>
          <w:color w:val="333333"/>
          <w:sz w:val="32"/>
          <w:szCs w:val="32"/>
        </w:rPr>
      </w:pPr>
      <w:r>
        <w:rPr>
          <w:rFonts w:ascii="仿宋" w:hAnsi="仿宋" w:eastAsia="仿宋" w:cs="Calibri"/>
          <w:color w:val="333333"/>
          <w:sz w:val="32"/>
          <w:szCs w:val="32"/>
        </w:rPr>
        <w:t>9.乙方指派律师在担任法律顾问期间，不得同时接受与甲方有利益冲突的其他当事人的委托，为其办理法律事务；如确需代理委托的，须提前3日征得甲方书面同意；</w:t>
      </w:r>
    </w:p>
    <w:p>
      <w:pPr>
        <w:pStyle w:val="7"/>
        <w:spacing w:beforeAutospacing="0" w:afterAutospacing="0" w:line="520" w:lineRule="exact"/>
        <w:ind w:firstLine="640"/>
        <w:jc w:val="both"/>
        <w:rPr>
          <w:rFonts w:hint="default" w:ascii="仿宋" w:hAnsi="仿宋" w:eastAsia="仿宋" w:cs="Calibri"/>
          <w:color w:val="333333"/>
          <w:sz w:val="32"/>
          <w:szCs w:val="32"/>
        </w:rPr>
      </w:pPr>
      <w:r>
        <w:rPr>
          <w:rFonts w:ascii="仿宋" w:hAnsi="仿宋" w:eastAsia="仿宋" w:cs="Calibri"/>
          <w:color w:val="333333"/>
          <w:sz w:val="32"/>
          <w:szCs w:val="32"/>
        </w:rPr>
        <w:t>10.乙方指派律师在担任法律顾问期间，不得向公司员工个人提供任何不利于公司的咨询意见；</w:t>
      </w:r>
    </w:p>
    <w:p>
      <w:pPr>
        <w:pStyle w:val="7"/>
        <w:spacing w:beforeAutospacing="0" w:afterAutospacing="0" w:line="520" w:lineRule="exact"/>
        <w:ind w:firstLine="640"/>
        <w:jc w:val="both"/>
        <w:rPr>
          <w:rFonts w:hint="default" w:ascii="仿宋" w:hAnsi="仿宋" w:eastAsia="仿宋" w:cs="Calibri"/>
          <w:color w:val="333333"/>
          <w:sz w:val="32"/>
          <w:szCs w:val="32"/>
        </w:rPr>
      </w:pPr>
      <w:r>
        <w:rPr>
          <w:rFonts w:ascii="仿宋" w:hAnsi="仿宋" w:eastAsia="仿宋" w:cs="Calibri"/>
          <w:color w:val="333333"/>
          <w:sz w:val="32"/>
          <w:szCs w:val="32"/>
        </w:rPr>
        <w:t>11.乙方及其指派律师不得利用在工作期间获得的非公开信息或者便利条件，为所在单位及本人或者他人牟取利益；</w:t>
      </w:r>
    </w:p>
    <w:p>
      <w:pPr>
        <w:pStyle w:val="7"/>
        <w:spacing w:beforeAutospacing="0" w:afterAutospacing="0" w:line="520" w:lineRule="exact"/>
        <w:ind w:firstLine="640"/>
        <w:jc w:val="both"/>
        <w:rPr>
          <w:rFonts w:hint="default" w:ascii="仿宋" w:hAnsi="仿宋" w:eastAsia="仿宋" w:cs="Calibri"/>
          <w:color w:val="333333"/>
          <w:sz w:val="32"/>
          <w:szCs w:val="32"/>
        </w:rPr>
      </w:pPr>
      <w:r>
        <w:rPr>
          <w:rFonts w:ascii="仿宋" w:hAnsi="仿宋" w:eastAsia="仿宋" w:cs="Calibri"/>
          <w:color w:val="333333"/>
          <w:sz w:val="32"/>
          <w:szCs w:val="32"/>
        </w:rPr>
        <w:t>12.乙方及其指派律师不得以甲方法律顾问身份从事商业活动以及与履行法律顾问职责无关的活动；</w:t>
      </w:r>
    </w:p>
    <w:p>
      <w:pPr>
        <w:pStyle w:val="7"/>
        <w:spacing w:beforeAutospacing="0" w:afterAutospacing="0" w:line="520" w:lineRule="exact"/>
        <w:ind w:firstLine="640"/>
        <w:jc w:val="both"/>
        <w:rPr>
          <w:rFonts w:hint="default" w:ascii="仿宋" w:hAnsi="仿宋" w:eastAsia="仿宋" w:cs="Calibri"/>
          <w:color w:val="333333"/>
          <w:sz w:val="32"/>
          <w:szCs w:val="32"/>
        </w:rPr>
      </w:pPr>
      <w:r>
        <w:rPr>
          <w:rFonts w:ascii="仿宋" w:hAnsi="仿宋" w:eastAsia="仿宋" w:cs="Calibri"/>
          <w:color w:val="333333"/>
          <w:sz w:val="32"/>
          <w:szCs w:val="32"/>
        </w:rPr>
        <w:t>13.乙方对甲方业务应当单独建档，并保存完整的工作记录，对涉及甲方的原始证据、法律文件和财物应当妥善保管，保证其安全与完整。</w:t>
      </w:r>
    </w:p>
    <w:p>
      <w:pPr>
        <w:pStyle w:val="7"/>
        <w:spacing w:beforeAutospacing="0" w:afterAutospacing="0" w:line="520" w:lineRule="exact"/>
        <w:ind w:firstLine="640"/>
        <w:jc w:val="both"/>
        <w:rPr>
          <w:rFonts w:hint="default" w:ascii="仿宋" w:hAnsi="仿宋" w:eastAsia="仿宋" w:cs="Calibri"/>
          <w:color w:val="333333"/>
          <w:sz w:val="32"/>
          <w:szCs w:val="32"/>
        </w:rPr>
      </w:pPr>
      <w:r>
        <w:rPr>
          <w:rFonts w:ascii="仿宋" w:hAnsi="仿宋" w:eastAsia="仿宋" w:cs="Calibri"/>
          <w:color w:val="333333"/>
          <w:sz w:val="32"/>
          <w:szCs w:val="32"/>
        </w:rPr>
        <w:t>14.乙方对外宣传、披露与公司存在法律顾问服务关系时，应提前告知甲方，但此种披露不得以损害甲方声誉为前提。</w:t>
      </w:r>
    </w:p>
    <w:p>
      <w:pPr>
        <w:pStyle w:val="4"/>
        <w:widowControl/>
        <w:spacing w:line="520" w:lineRule="exact"/>
        <w:ind w:firstLine="640"/>
        <w:rPr>
          <w:rFonts w:ascii="黑体" w:hAnsi="宋体" w:eastAsia="黑体" w:cs="Calibri"/>
          <w:bCs/>
          <w:color w:val="333333"/>
          <w:kern w:val="0"/>
          <w:sz w:val="32"/>
          <w:szCs w:val="32"/>
        </w:rPr>
      </w:pPr>
      <w:r>
        <w:rPr>
          <w:rFonts w:hint="eastAsia" w:ascii="黑体" w:hAnsi="宋体" w:eastAsia="黑体" w:cs="Calibri"/>
          <w:bCs/>
          <w:color w:val="333333"/>
          <w:kern w:val="0"/>
          <w:sz w:val="32"/>
          <w:szCs w:val="32"/>
        </w:rPr>
        <w:t>第六条 服务方式</w:t>
      </w:r>
    </w:p>
    <w:p>
      <w:pPr>
        <w:pStyle w:val="7"/>
        <w:spacing w:beforeAutospacing="0" w:afterAutospacing="0" w:line="520" w:lineRule="exact"/>
        <w:ind w:firstLine="640"/>
        <w:jc w:val="both"/>
        <w:rPr>
          <w:rFonts w:hint="default" w:ascii="Calibri" w:hAnsi="Calibri" w:cs="Calibri"/>
          <w:color w:val="333333"/>
          <w:sz w:val="21"/>
          <w:szCs w:val="21"/>
        </w:rPr>
      </w:pPr>
      <w:r>
        <w:rPr>
          <w:rFonts w:ascii="仿宋" w:hAnsi="仿宋" w:eastAsia="仿宋" w:cs="Calibri"/>
          <w:color w:val="333333"/>
          <w:sz w:val="32"/>
          <w:szCs w:val="32"/>
        </w:rPr>
        <w:t>1.甲乙双方应建立通畅的工作机制，分别指定工作联系人（甲方指定</w:t>
      </w:r>
      <w:r>
        <w:rPr>
          <w:rFonts w:ascii="仿宋" w:hAnsi="仿宋" w:eastAsia="仿宋" w:cs="Calibri"/>
          <w:color w:val="333333"/>
          <w:sz w:val="32"/>
          <w:szCs w:val="32"/>
          <w:u w:val="single"/>
        </w:rPr>
        <w:t xml:space="preserve">      ，</w:t>
      </w:r>
      <w:r>
        <w:rPr>
          <w:rFonts w:ascii="仿宋" w:hAnsi="仿宋" w:eastAsia="仿宋" w:cs="Calibri"/>
          <w:color w:val="333333"/>
          <w:sz w:val="32"/>
          <w:szCs w:val="32"/>
        </w:rPr>
        <w:t>联系电话：</w:t>
      </w:r>
      <w:r>
        <w:rPr>
          <w:rFonts w:ascii="仿宋" w:hAnsi="仿宋" w:eastAsia="仿宋" w:cs="Calibri"/>
          <w:color w:val="333333"/>
          <w:sz w:val="32"/>
          <w:szCs w:val="32"/>
          <w:u w:val="single"/>
        </w:rPr>
        <w:t xml:space="preserve">         </w:t>
      </w:r>
      <w:r>
        <w:rPr>
          <w:rFonts w:ascii="仿宋" w:hAnsi="仿宋" w:eastAsia="仿宋" w:cs="Calibri"/>
          <w:color w:val="333333"/>
          <w:sz w:val="32"/>
          <w:szCs w:val="32"/>
        </w:rPr>
        <w:t>，乙方指定</w:t>
      </w:r>
      <w:r>
        <w:rPr>
          <w:rFonts w:ascii="仿宋" w:hAnsi="仿宋" w:eastAsia="仿宋" w:cs="Calibri"/>
          <w:color w:val="333333"/>
          <w:sz w:val="32"/>
          <w:szCs w:val="32"/>
          <w:u w:val="single"/>
        </w:rPr>
        <w:t xml:space="preserve">        ，</w:t>
      </w:r>
      <w:r>
        <w:rPr>
          <w:rFonts w:ascii="仿宋" w:hAnsi="仿宋" w:eastAsia="仿宋" w:cs="Calibri"/>
          <w:color w:val="333333"/>
          <w:sz w:val="32"/>
          <w:szCs w:val="32"/>
        </w:rPr>
        <w:t>联系电话：</w:t>
      </w:r>
      <w:r>
        <w:rPr>
          <w:rFonts w:ascii="仿宋" w:hAnsi="仿宋" w:eastAsia="仿宋" w:cs="Calibri"/>
          <w:color w:val="333333"/>
          <w:sz w:val="32"/>
          <w:szCs w:val="32"/>
          <w:u w:val="single"/>
        </w:rPr>
        <w:t xml:space="preserve">         </w:t>
      </w:r>
      <w:r>
        <w:rPr>
          <w:rFonts w:ascii="仿宋" w:hAnsi="仿宋" w:eastAsia="仿宋" w:cs="Calibri"/>
          <w:color w:val="333333"/>
          <w:sz w:val="32"/>
          <w:szCs w:val="32"/>
        </w:rPr>
        <w:t>），保持良好的沟通联系，保质保量按时完成工作任务。</w:t>
      </w:r>
    </w:p>
    <w:p>
      <w:pPr>
        <w:pStyle w:val="7"/>
        <w:spacing w:beforeAutospacing="0" w:afterAutospacing="0" w:line="520" w:lineRule="exact"/>
        <w:ind w:firstLine="640"/>
        <w:jc w:val="both"/>
        <w:rPr>
          <w:rFonts w:hint="default" w:ascii="Calibri" w:hAnsi="Calibri" w:cs="Calibri"/>
          <w:color w:val="333333"/>
          <w:sz w:val="21"/>
          <w:szCs w:val="21"/>
        </w:rPr>
      </w:pPr>
      <w:r>
        <w:rPr>
          <w:rFonts w:ascii="仿宋" w:hAnsi="仿宋" w:eastAsia="仿宋" w:cs="Calibri"/>
          <w:color w:val="333333"/>
          <w:sz w:val="32"/>
          <w:szCs w:val="32"/>
        </w:rPr>
        <w:t>2.乙方为甲方提供法律顾问服务的团队由本合同第一条所指派的律师担任负责人及主办律师，并由该团队负责人组建律师团队。乙方应根据甲方具体法律事务的不同要求，调集、组织不同专业领城的律师提供专业服务。</w:t>
      </w:r>
      <w:r>
        <w:rPr>
          <w:rFonts w:hint="default" w:ascii="Calibri" w:hAnsi="Calibri" w:cs="Calibri"/>
          <w:color w:val="333333"/>
          <w:sz w:val="21"/>
          <w:szCs w:val="21"/>
        </w:rPr>
        <w:t xml:space="preserve"> </w:t>
      </w:r>
    </w:p>
    <w:p>
      <w:pPr>
        <w:pStyle w:val="7"/>
        <w:spacing w:beforeAutospacing="0" w:afterAutospacing="0" w:line="520" w:lineRule="exact"/>
        <w:ind w:firstLine="640"/>
        <w:jc w:val="both"/>
        <w:rPr>
          <w:rFonts w:hint="default" w:ascii="Calibri" w:hAnsi="Calibri" w:cs="Calibri"/>
          <w:color w:val="333333"/>
          <w:sz w:val="21"/>
          <w:szCs w:val="21"/>
        </w:rPr>
      </w:pPr>
      <w:r>
        <w:rPr>
          <w:rFonts w:ascii="仿宋" w:hAnsi="仿宋" w:eastAsia="仿宋" w:cs="Calibri"/>
          <w:color w:val="333333"/>
          <w:sz w:val="32"/>
          <w:szCs w:val="32"/>
        </w:rPr>
        <w:t>3.甲方通过电话、传真、信函、电子邮件等方式通知乙方工作任务。乙方以经双方确认的形式进行咨询回复、现场参加工作会议、进行现场调查、提交书面法律建议、起草法律文书、出具法律意见书等方式提供法律服务。</w:t>
      </w:r>
    </w:p>
    <w:p>
      <w:pPr>
        <w:pStyle w:val="7"/>
        <w:spacing w:beforeAutospacing="0" w:afterAutospacing="0" w:line="520" w:lineRule="exact"/>
        <w:ind w:firstLine="640"/>
        <w:jc w:val="both"/>
        <w:rPr>
          <w:rFonts w:hint="default" w:ascii="仿宋" w:hAnsi="仿宋" w:eastAsia="仿宋" w:cs="Calibri"/>
          <w:color w:val="333333"/>
          <w:sz w:val="32"/>
          <w:szCs w:val="32"/>
        </w:rPr>
      </w:pPr>
      <w:r>
        <w:rPr>
          <w:rFonts w:ascii="仿宋" w:hAnsi="仿宋" w:eastAsia="仿宋" w:cs="Calibri"/>
          <w:color w:val="333333"/>
          <w:sz w:val="32"/>
          <w:szCs w:val="32"/>
        </w:rPr>
        <w:t>4.对甲方临时或突发性的法律事务，乙方指派律师在工作安排上应积极作好调整，尽量优先满足甲方的工作需要。</w:t>
      </w:r>
    </w:p>
    <w:p>
      <w:pPr>
        <w:pStyle w:val="4"/>
        <w:widowControl/>
        <w:spacing w:line="520" w:lineRule="exact"/>
        <w:ind w:firstLine="640"/>
        <w:rPr>
          <w:rFonts w:ascii="黑体" w:hAnsi="宋体" w:eastAsia="黑体" w:cs="Calibri"/>
          <w:bCs/>
          <w:color w:val="333333"/>
          <w:kern w:val="0"/>
          <w:sz w:val="32"/>
          <w:szCs w:val="32"/>
        </w:rPr>
      </w:pPr>
      <w:r>
        <w:rPr>
          <w:rFonts w:hint="eastAsia" w:ascii="黑体" w:hAnsi="宋体" w:eastAsia="黑体" w:cs="Calibri"/>
          <w:bCs/>
          <w:color w:val="333333"/>
          <w:kern w:val="0"/>
          <w:sz w:val="32"/>
          <w:szCs w:val="32"/>
        </w:rPr>
        <w:t>第七条 服务费用及支付方式</w:t>
      </w:r>
    </w:p>
    <w:p>
      <w:pPr>
        <w:pStyle w:val="7"/>
        <w:spacing w:line="520" w:lineRule="exact"/>
        <w:ind w:firstLine="640" w:firstLineChars="200"/>
        <w:rPr>
          <w:rFonts w:hint="default" w:ascii="仿宋" w:hAnsi="仿宋" w:eastAsia="仿宋" w:cs="Calibri"/>
          <w:color w:val="333333"/>
          <w:sz w:val="32"/>
          <w:szCs w:val="32"/>
        </w:rPr>
      </w:pPr>
      <w:r>
        <w:rPr>
          <w:rFonts w:ascii="仿宋" w:hAnsi="仿宋" w:eastAsia="仿宋" w:cs="Calibri"/>
          <w:color w:val="333333"/>
          <w:sz w:val="32"/>
          <w:szCs w:val="32"/>
        </w:rPr>
        <w:t>1.本合同项下法律顾问费为人民币</w:t>
      </w:r>
      <w:r>
        <w:rPr>
          <w:rFonts w:ascii="仿宋" w:hAnsi="仿宋" w:eastAsia="仿宋" w:cs="Calibri"/>
          <w:color w:val="333333"/>
          <w:sz w:val="32"/>
          <w:szCs w:val="32"/>
          <w:u w:val="single"/>
        </w:rPr>
        <w:t xml:space="preserve">      </w:t>
      </w:r>
      <w:r>
        <w:rPr>
          <w:rFonts w:ascii="仿宋" w:hAnsi="仿宋" w:eastAsia="仿宋" w:cs="Calibri"/>
          <w:color w:val="333333"/>
          <w:sz w:val="32"/>
          <w:szCs w:val="32"/>
        </w:rPr>
        <w:t>元/年（￥</w:t>
      </w:r>
      <w:r>
        <w:rPr>
          <w:rFonts w:ascii="仿宋" w:hAnsi="仿宋" w:eastAsia="仿宋" w:cs="Calibri"/>
          <w:color w:val="333333"/>
          <w:sz w:val="32"/>
          <w:szCs w:val="32"/>
          <w:u w:val="single"/>
        </w:rPr>
        <w:t xml:space="preserve">              </w:t>
      </w:r>
      <w:r>
        <w:rPr>
          <w:rFonts w:ascii="仿宋" w:hAnsi="仿宋" w:eastAsia="仿宋" w:cs="Calibri"/>
          <w:color w:val="333333"/>
          <w:sz w:val="32"/>
          <w:szCs w:val="32"/>
        </w:rPr>
        <w:t>元），法律顾问费包括增值税费、差旅费、食宿费、交通费、复印费等一切费用。</w:t>
      </w:r>
    </w:p>
    <w:p>
      <w:pPr>
        <w:shd w:val="clear" w:color="auto" w:fill="FFFFFF"/>
        <w:spacing w:line="520" w:lineRule="exact"/>
        <w:ind w:firstLine="640" w:firstLineChars="200"/>
        <w:rPr>
          <w:rFonts w:ascii="仿宋" w:hAnsi="仿宋" w:eastAsia="仿宋" w:cs="Calibri"/>
          <w:b/>
          <w:bCs/>
          <w:color w:val="333333"/>
          <w:kern w:val="0"/>
          <w:sz w:val="32"/>
          <w:szCs w:val="32"/>
          <w:shd w:val="clear" w:color="auto" w:fill="FFFFFF"/>
        </w:rPr>
      </w:pPr>
      <w:r>
        <w:rPr>
          <w:rFonts w:hint="eastAsia" w:ascii="仿宋" w:hAnsi="仿宋" w:eastAsia="仿宋" w:cs="Calibri"/>
          <w:color w:val="333333"/>
          <w:kern w:val="0"/>
          <w:sz w:val="32"/>
          <w:szCs w:val="32"/>
          <w:shd w:val="clear" w:color="auto" w:fill="FFFFFF"/>
          <w:lang w:bidi="ar"/>
        </w:rPr>
        <w:t>2.法律顾问费采用分年度支付的方式，甲方应于本合同签订后五个工作日内支付第一年法律顾问费的50%，其余50%在一个服务年度终了后完成相关考核，考核合格并完成合同约定事项后支付；若有违约行为需扣除违约金、赔偿金等情况的，应先扣除相关违约金、赔偿金后，按实际剩余的数额支付。</w:t>
      </w:r>
    </w:p>
    <w:p>
      <w:pPr>
        <w:shd w:val="clear" w:color="auto" w:fill="FFFFFF"/>
        <w:spacing w:line="520" w:lineRule="exact"/>
        <w:ind w:firstLine="640" w:firstLineChars="200"/>
        <w:jc w:val="left"/>
        <w:rPr>
          <w:rFonts w:ascii="仿宋" w:hAnsi="仿宋" w:eastAsia="仿宋" w:cs="Calibri"/>
          <w:color w:val="333333"/>
          <w:kern w:val="0"/>
          <w:sz w:val="32"/>
          <w:szCs w:val="32"/>
          <w:shd w:val="clear" w:color="auto" w:fill="FFFFFF"/>
        </w:rPr>
      </w:pPr>
      <w:r>
        <w:rPr>
          <w:rFonts w:hint="eastAsia" w:ascii="仿宋" w:hAnsi="仿宋" w:eastAsia="仿宋" w:cs="Calibri"/>
          <w:color w:val="333333"/>
          <w:kern w:val="0"/>
          <w:sz w:val="32"/>
          <w:szCs w:val="32"/>
          <w:shd w:val="clear" w:color="auto" w:fill="FFFFFF"/>
          <w:lang w:bidi="ar"/>
        </w:rPr>
        <w:t>甲方法律服务费须支付至乙方指定的以下账户：</w:t>
      </w:r>
    </w:p>
    <w:p>
      <w:pPr>
        <w:shd w:val="clear" w:color="auto" w:fill="FFFFFF"/>
        <w:spacing w:line="520" w:lineRule="exact"/>
        <w:ind w:firstLine="640" w:firstLineChars="200"/>
        <w:jc w:val="left"/>
        <w:rPr>
          <w:rFonts w:ascii="仿宋" w:hAnsi="仿宋" w:eastAsia="仿宋" w:cs="Calibri"/>
          <w:color w:val="333333"/>
          <w:kern w:val="0"/>
          <w:sz w:val="32"/>
          <w:szCs w:val="32"/>
          <w:shd w:val="clear" w:color="auto" w:fill="FFFFFF"/>
        </w:rPr>
      </w:pPr>
      <w:r>
        <w:rPr>
          <w:rFonts w:hint="eastAsia" w:ascii="仿宋" w:hAnsi="仿宋" w:eastAsia="仿宋" w:cs="Calibri"/>
          <w:color w:val="333333"/>
          <w:kern w:val="0"/>
          <w:sz w:val="32"/>
          <w:szCs w:val="32"/>
          <w:shd w:val="clear" w:color="auto" w:fill="FFFFFF"/>
          <w:lang w:bidi="ar"/>
        </w:rPr>
        <w:t>名称</w:t>
      </w:r>
      <w:r>
        <w:rPr>
          <w:rFonts w:hint="eastAsia" w:ascii="仿宋" w:hAnsi="仿宋" w:eastAsia="仿宋" w:cs="Calibri"/>
          <w:color w:val="333333"/>
          <w:kern w:val="0"/>
          <w:sz w:val="32"/>
          <w:szCs w:val="32"/>
          <w:u w:val="single"/>
          <w:shd w:val="clear" w:color="auto" w:fill="FFFFFF"/>
          <w:lang w:bidi="ar"/>
        </w:rPr>
        <w:t xml:space="preserve">：         </w:t>
      </w:r>
      <w:r>
        <w:rPr>
          <w:rFonts w:hint="eastAsia" w:ascii="仿宋" w:hAnsi="仿宋" w:eastAsia="仿宋" w:cs="Calibri"/>
          <w:color w:val="333333"/>
          <w:kern w:val="0"/>
          <w:sz w:val="32"/>
          <w:szCs w:val="32"/>
          <w:shd w:val="clear" w:color="auto" w:fill="FFFFFF"/>
          <w:lang w:bidi="ar"/>
        </w:rPr>
        <w:t>；开户行</w:t>
      </w:r>
      <w:r>
        <w:rPr>
          <w:rFonts w:hint="eastAsia" w:ascii="仿宋" w:hAnsi="仿宋" w:eastAsia="仿宋" w:cs="Calibri"/>
          <w:color w:val="333333"/>
          <w:kern w:val="0"/>
          <w:sz w:val="32"/>
          <w:szCs w:val="32"/>
          <w:u w:val="single"/>
          <w:shd w:val="clear" w:color="auto" w:fill="FFFFFF"/>
          <w:lang w:bidi="ar"/>
        </w:rPr>
        <w:t xml:space="preserve">：       </w:t>
      </w:r>
      <w:r>
        <w:rPr>
          <w:rFonts w:hint="eastAsia" w:ascii="仿宋" w:hAnsi="仿宋" w:eastAsia="仿宋" w:cs="Calibri"/>
          <w:color w:val="333333"/>
          <w:kern w:val="0"/>
          <w:sz w:val="32"/>
          <w:szCs w:val="32"/>
          <w:shd w:val="clear" w:color="auto" w:fill="FFFFFF"/>
          <w:lang w:bidi="ar"/>
        </w:rPr>
        <w:t>；帐号</w:t>
      </w:r>
      <w:r>
        <w:rPr>
          <w:rFonts w:hint="eastAsia" w:ascii="仿宋" w:hAnsi="仿宋" w:eastAsia="仿宋" w:cs="Calibri"/>
          <w:color w:val="333333"/>
          <w:kern w:val="0"/>
          <w:sz w:val="32"/>
          <w:szCs w:val="32"/>
          <w:u w:val="single"/>
          <w:shd w:val="clear" w:color="auto" w:fill="FFFFFF"/>
          <w:lang w:bidi="ar"/>
        </w:rPr>
        <w:t xml:space="preserve">：       </w:t>
      </w:r>
    </w:p>
    <w:p>
      <w:pPr>
        <w:pStyle w:val="7"/>
        <w:spacing w:line="520" w:lineRule="exact"/>
        <w:ind w:firstLine="640" w:firstLineChars="200"/>
        <w:rPr>
          <w:rFonts w:hint="default" w:ascii="仿宋" w:hAnsi="仿宋" w:eastAsia="仿宋" w:cs="Calibri"/>
          <w:bCs/>
          <w:color w:val="333333"/>
          <w:sz w:val="32"/>
          <w:szCs w:val="32"/>
        </w:rPr>
      </w:pPr>
      <w:r>
        <w:rPr>
          <w:rFonts w:ascii="仿宋" w:hAnsi="仿宋" w:eastAsia="仿宋" w:cs="Calibri"/>
          <w:color w:val="333333"/>
          <w:sz w:val="32"/>
          <w:szCs w:val="32"/>
        </w:rPr>
        <w:t>若本合同期限长于一年的，则甲方应于上一服务年度届满前十五日内支付下一合同年度法律顾问费的50%至上述乙方指定账户，剩余50%按第一年度的支付方式执行。</w:t>
      </w:r>
      <w:r>
        <w:rPr>
          <w:rFonts w:ascii="仿宋" w:hAnsi="仿宋" w:eastAsia="仿宋" w:cs="Calibri"/>
          <w:bCs/>
          <w:color w:val="333333"/>
          <w:sz w:val="32"/>
          <w:szCs w:val="32"/>
        </w:rPr>
        <w:t>乙方应当在每次申请付款前，应开具相应金额的增值税专用发票，否则甲方有权拒绝付款。</w:t>
      </w:r>
    </w:p>
    <w:p>
      <w:pPr>
        <w:pStyle w:val="7"/>
        <w:spacing w:line="520" w:lineRule="exact"/>
        <w:ind w:firstLine="640" w:firstLineChars="200"/>
        <w:rPr>
          <w:rFonts w:hint="default" w:ascii="仿宋" w:hAnsi="仿宋" w:eastAsia="仿宋" w:cs="Calibri"/>
          <w:color w:val="333333"/>
          <w:sz w:val="32"/>
          <w:szCs w:val="32"/>
        </w:rPr>
      </w:pPr>
      <w:r>
        <w:rPr>
          <w:rFonts w:ascii="仿宋" w:hAnsi="仿宋" w:eastAsia="仿宋" w:cs="Calibri"/>
          <w:color w:val="333333"/>
          <w:sz w:val="32"/>
          <w:szCs w:val="32"/>
        </w:rPr>
        <w:t>3.乙方办理公司委托事项发生的下列费用由公司承担：</w:t>
      </w:r>
    </w:p>
    <w:p>
      <w:pPr>
        <w:pStyle w:val="7"/>
        <w:spacing w:line="520" w:lineRule="exact"/>
        <w:ind w:firstLine="640" w:firstLineChars="200"/>
        <w:rPr>
          <w:rFonts w:hint="default" w:ascii="仿宋" w:hAnsi="仿宋" w:eastAsia="仿宋" w:cs="Calibri"/>
          <w:color w:val="333333"/>
          <w:sz w:val="32"/>
          <w:szCs w:val="32"/>
        </w:rPr>
      </w:pPr>
      <w:r>
        <w:rPr>
          <w:rFonts w:ascii="仿宋" w:hAnsi="仿宋" w:eastAsia="仿宋" w:cs="Calibri"/>
          <w:color w:val="333333"/>
          <w:sz w:val="32"/>
          <w:szCs w:val="32"/>
        </w:rPr>
        <w:t>（1）相关行政、司法、鉴定、公证等部门收取的费用；</w:t>
      </w:r>
    </w:p>
    <w:p>
      <w:pPr>
        <w:pStyle w:val="7"/>
        <w:spacing w:line="520" w:lineRule="exact"/>
        <w:ind w:firstLine="640" w:firstLineChars="200"/>
        <w:rPr>
          <w:rFonts w:hint="default" w:ascii="仿宋" w:hAnsi="仿宋" w:eastAsia="仿宋" w:cs="Calibri"/>
          <w:color w:val="333333"/>
          <w:sz w:val="32"/>
          <w:szCs w:val="32"/>
        </w:rPr>
      </w:pPr>
      <w:r>
        <w:rPr>
          <w:rFonts w:ascii="仿宋" w:hAnsi="仿宋" w:eastAsia="仿宋" w:cs="Calibri"/>
          <w:color w:val="333333"/>
          <w:sz w:val="32"/>
          <w:szCs w:val="32"/>
        </w:rPr>
        <w:t>（2）征得甲方同意后支出的其他费用。</w:t>
      </w:r>
    </w:p>
    <w:p>
      <w:pPr>
        <w:pStyle w:val="4"/>
        <w:widowControl/>
        <w:spacing w:line="520" w:lineRule="exact"/>
        <w:ind w:firstLine="640"/>
        <w:rPr>
          <w:rFonts w:ascii="黑体" w:hAnsi="宋体" w:eastAsia="黑体" w:cs="Calibri"/>
          <w:bCs/>
          <w:color w:val="333333"/>
          <w:kern w:val="0"/>
          <w:sz w:val="32"/>
          <w:szCs w:val="32"/>
        </w:rPr>
      </w:pPr>
      <w:r>
        <w:rPr>
          <w:rFonts w:hint="eastAsia" w:ascii="黑体" w:hAnsi="宋体" w:eastAsia="黑体" w:cs="Calibri"/>
          <w:bCs/>
          <w:color w:val="333333"/>
          <w:kern w:val="0"/>
          <w:sz w:val="32"/>
          <w:szCs w:val="32"/>
        </w:rPr>
        <w:t>第八条 服务期限及续约</w:t>
      </w:r>
    </w:p>
    <w:p>
      <w:pPr>
        <w:spacing w:line="520" w:lineRule="exact"/>
        <w:ind w:firstLine="640" w:firstLineChars="200"/>
        <w:rPr>
          <w:rFonts w:ascii="仿宋" w:hAnsi="仿宋" w:eastAsia="仿宋" w:cs="Calibri"/>
          <w:color w:val="333333"/>
          <w:kern w:val="0"/>
          <w:sz w:val="32"/>
          <w:szCs w:val="32"/>
        </w:rPr>
      </w:pPr>
      <w:r>
        <w:rPr>
          <w:rFonts w:hint="eastAsia" w:ascii="仿宋" w:hAnsi="仿宋" w:eastAsia="仿宋" w:cs="Calibri"/>
          <w:color w:val="333333"/>
          <w:kern w:val="0"/>
          <w:sz w:val="32"/>
          <w:szCs w:val="32"/>
          <w:lang w:bidi="ar"/>
        </w:rPr>
        <w:t>1.法律顾问服务期限为</w:t>
      </w:r>
      <w:r>
        <w:rPr>
          <w:rFonts w:hint="eastAsia" w:ascii="仿宋" w:hAnsi="仿宋" w:eastAsia="仿宋" w:cs="Calibri"/>
          <w:color w:val="333333"/>
          <w:kern w:val="0"/>
          <w:sz w:val="32"/>
          <w:szCs w:val="32"/>
          <w:u w:val="single"/>
          <w:lang w:bidi="ar"/>
        </w:rPr>
        <w:t xml:space="preserve">  </w:t>
      </w:r>
      <w:r>
        <w:rPr>
          <w:rFonts w:hint="eastAsia" w:ascii="仿宋" w:hAnsi="仿宋" w:eastAsia="仿宋" w:cs="Calibri"/>
          <w:color w:val="333333"/>
          <w:kern w:val="0"/>
          <w:sz w:val="32"/>
          <w:szCs w:val="32"/>
          <w:lang w:bidi="ar"/>
        </w:rPr>
        <w:t>年，自</w:t>
      </w:r>
      <w:r>
        <w:rPr>
          <w:rFonts w:hint="eastAsia" w:ascii="仿宋" w:hAnsi="仿宋" w:eastAsia="仿宋" w:cs="Calibri"/>
          <w:color w:val="333333"/>
          <w:kern w:val="0"/>
          <w:sz w:val="32"/>
          <w:szCs w:val="32"/>
          <w:u w:val="single"/>
          <w:lang w:bidi="ar"/>
        </w:rPr>
        <w:t xml:space="preserve">   </w:t>
      </w:r>
      <w:r>
        <w:rPr>
          <w:rFonts w:hint="eastAsia" w:ascii="仿宋" w:hAnsi="仿宋" w:eastAsia="仿宋" w:cs="Calibri"/>
          <w:color w:val="333333"/>
          <w:kern w:val="0"/>
          <w:sz w:val="32"/>
          <w:szCs w:val="32"/>
          <w:lang w:bidi="ar"/>
        </w:rPr>
        <w:t>年</w:t>
      </w:r>
      <w:r>
        <w:rPr>
          <w:rFonts w:hint="eastAsia" w:ascii="仿宋" w:hAnsi="仿宋" w:eastAsia="仿宋" w:cs="Calibri"/>
          <w:color w:val="333333"/>
          <w:kern w:val="0"/>
          <w:sz w:val="32"/>
          <w:szCs w:val="32"/>
          <w:u w:val="single"/>
          <w:lang w:bidi="ar"/>
        </w:rPr>
        <w:t xml:space="preserve">  </w:t>
      </w:r>
      <w:r>
        <w:rPr>
          <w:rFonts w:hint="eastAsia" w:ascii="仿宋" w:hAnsi="仿宋" w:eastAsia="仿宋" w:cs="Calibri"/>
          <w:color w:val="333333"/>
          <w:kern w:val="0"/>
          <w:sz w:val="32"/>
          <w:szCs w:val="32"/>
          <w:lang w:bidi="ar"/>
        </w:rPr>
        <w:t>月</w:t>
      </w:r>
      <w:r>
        <w:rPr>
          <w:rFonts w:hint="eastAsia" w:ascii="仿宋" w:hAnsi="仿宋" w:eastAsia="仿宋" w:cs="Calibri"/>
          <w:color w:val="333333"/>
          <w:kern w:val="0"/>
          <w:sz w:val="32"/>
          <w:szCs w:val="32"/>
          <w:u w:val="single"/>
          <w:lang w:bidi="ar"/>
        </w:rPr>
        <w:t xml:space="preserve">  </w:t>
      </w:r>
      <w:r>
        <w:rPr>
          <w:rFonts w:hint="eastAsia" w:ascii="仿宋" w:hAnsi="仿宋" w:eastAsia="仿宋" w:cs="Calibri"/>
          <w:color w:val="333333"/>
          <w:kern w:val="0"/>
          <w:sz w:val="32"/>
          <w:szCs w:val="32"/>
          <w:lang w:bidi="ar"/>
        </w:rPr>
        <w:t>日起至</w:t>
      </w:r>
      <w:r>
        <w:rPr>
          <w:rFonts w:hint="eastAsia" w:ascii="仿宋" w:hAnsi="仿宋" w:eastAsia="仿宋" w:cs="Calibri"/>
          <w:color w:val="333333"/>
          <w:kern w:val="0"/>
          <w:sz w:val="32"/>
          <w:szCs w:val="32"/>
          <w:u w:val="single"/>
          <w:lang w:bidi="ar"/>
        </w:rPr>
        <w:t xml:space="preserve">   </w:t>
      </w:r>
      <w:r>
        <w:rPr>
          <w:rFonts w:hint="eastAsia" w:ascii="仿宋" w:hAnsi="仿宋" w:eastAsia="仿宋" w:cs="Calibri"/>
          <w:color w:val="333333"/>
          <w:kern w:val="0"/>
          <w:sz w:val="32"/>
          <w:szCs w:val="32"/>
          <w:lang w:bidi="ar"/>
        </w:rPr>
        <w:t>年</w:t>
      </w:r>
      <w:r>
        <w:rPr>
          <w:rFonts w:hint="eastAsia" w:ascii="仿宋" w:hAnsi="仿宋" w:eastAsia="仿宋" w:cs="Calibri"/>
          <w:color w:val="333333"/>
          <w:kern w:val="0"/>
          <w:sz w:val="32"/>
          <w:szCs w:val="32"/>
          <w:u w:val="single"/>
          <w:lang w:bidi="ar"/>
        </w:rPr>
        <w:t xml:space="preserve">  </w:t>
      </w:r>
      <w:r>
        <w:rPr>
          <w:rFonts w:hint="eastAsia" w:ascii="仿宋" w:hAnsi="仿宋" w:eastAsia="仿宋" w:cs="Calibri"/>
          <w:color w:val="333333"/>
          <w:kern w:val="0"/>
          <w:sz w:val="32"/>
          <w:szCs w:val="32"/>
          <w:lang w:bidi="ar"/>
        </w:rPr>
        <w:t>月</w:t>
      </w:r>
      <w:r>
        <w:rPr>
          <w:rFonts w:hint="eastAsia" w:ascii="仿宋" w:hAnsi="仿宋" w:eastAsia="仿宋" w:cs="Calibri"/>
          <w:color w:val="333333"/>
          <w:kern w:val="0"/>
          <w:sz w:val="32"/>
          <w:szCs w:val="32"/>
          <w:u w:val="single"/>
          <w:lang w:bidi="ar"/>
        </w:rPr>
        <w:t xml:space="preserve">  </w:t>
      </w:r>
      <w:r>
        <w:rPr>
          <w:rFonts w:hint="eastAsia" w:ascii="仿宋" w:hAnsi="仿宋" w:eastAsia="仿宋" w:cs="Calibri"/>
          <w:color w:val="333333"/>
          <w:kern w:val="0"/>
          <w:sz w:val="32"/>
          <w:szCs w:val="32"/>
          <w:lang w:bidi="ar"/>
        </w:rPr>
        <w:t>日止。</w:t>
      </w:r>
    </w:p>
    <w:p>
      <w:pPr>
        <w:spacing w:line="520" w:lineRule="exact"/>
        <w:ind w:firstLine="640" w:firstLineChars="200"/>
        <w:rPr>
          <w:rFonts w:ascii="仿宋" w:hAnsi="仿宋" w:eastAsia="仿宋" w:cs="Calibri"/>
          <w:color w:val="333333"/>
          <w:kern w:val="0"/>
          <w:sz w:val="32"/>
          <w:szCs w:val="32"/>
        </w:rPr>
      </w:pPr>
      <w:r>
        <w:rPr>
          <w:rFonts w:hint="eastAsia" w:ascii="仿宋" w:hAnsi="仿宋" w:eastAsia="仿宋" w:cs="Calibri"/>
          <w:color w:val="333333"/>
          <w:kern w:val="0"/>
          <w:sz w:val="32"/>
          <w:szCs w:val="32"/>
          <w:lang w:bidi="ar"/>
        </w:rPr>
        <w:t>2.本合同期满后，如甲乙双方均无异议的，本合同服务期限自动延续，延续期限为壹年，收费标准不变。</w:t>
      </w:r>
    </w:p>
    <w:p>
      <w:pPr>
        <w:spacing w:line="520" w:lineRule="exact"/>
        <w:ind w:firstLine="640" w:firstLineChars="200"/>
        <w:rPr>
          <w:rFonts w:ascii="仿宋" w:hAnsi="仿宋" w:eastAsia="仿宋" w:cs="Calibri"/>
          <w:color w:val="333333"/>
          <w:kern w:val="0"/>
          <w:sz w:val="32"/>
          <w:szCs w:val="32"/>
        </w:rPr>
      </w:pPr>
      <w:r>
        <w:rPr>
          <w:rFonts w:hint="eastAsia" w:ascii="仿宋" w:hAnsi="仿宋" w:eastAsia="仿宋" w:cs="Calibri"/>
          <w:color w:val="333333"/>
          <w:kern w:val="0"/>
          <w:sz w:val="32"/>
          <w:szCs w:val="32"/>
          <w:lang w:bidi="ar"/>
        </w:rPr>
        <w:t>3.如有异议的，异议方应与服务期满前30日内提出，并双方协商决定是否续签法律顾问聘用合同。本合同期满后未续签或者决定不续签且甲方重新选聘新法律顾问前，乙方应无条件依照本合同服务标准为甲方提供临时法律服务，临时性法律服务期限按照本合同约定的收费标准自动延期至服务终止或合同续签之日（不足15天按半月计算，超过15天按一个月计算）。</w:t>
      </w:r>
    </w:p>
    <w:p>
      <w:pPr>
        <w:spacing w:line="520" w:lineRule="exact"/>
        <w:ind w:firstLine="640" w:firstLineChars="200"/>
        <w:rPr>
          <w:rFonts w:ascii="黑体" w:hAnsi="宋体" w:eastAsia="黑体" w:cs="Calibri"/>
          <w:bCs/>
          <w:color w:val="333333"/>
          <w:kern w:val="0"/>
          <w:sz w:val="32"/>
          <w:szCs w:val="32"/>
        </w:rPr>
      </w:pPr>
      <w:r>
        <w:rPr>
          <w:rFonts w:hint="eastAsia" w:ascii="黑体" w:hAnsi="宋体" w:eastAsia="黑体" w:cs="Calibri"/>
          <w:bCs/>
          <w:color w:val="333333"/>
          <w:kern w:val="0"/>
          <w:sz w:val="32"/>
          <w:szCs w:val="32"/>
          <w:lang w:bidi="ar"/>
        </w:rPr>
        <w:t>第九条</w:t>
      </w:r>
      <w:r>
        <w:rPr>
          <w:rFonts w:hint="eastAsia" w:ascii="仿宋" w:hAnsi="仿宋" w:eastAsia="仿宋" w:cs="Calibri"/>
          <w:color w:val="333333"/>
          <w:kern w:val="0"/>
          <w:sz w:val="32"/>
          <w:szCs w:val="32"/>
          <w:lang w:bidi="ar"/>
        </w:rPr>
        <w:t xml:space="preserve"> </w:t>
      </w:r>
      <w:r>
        <w:rPr>
          <w:rFonts w:hint="eastAsia" w:ascii="黑体" w:hAnsi="宋体" w:eastAsia="黑体" w:cs="Calibri"/>
          <w:bCs/>
          <w:color w:val="333333"/>
          <w:kern w:val="0"/>
          <w:sz w:val="32"/>
          <w:szCs w:val="32"/>
          <w:lang w:bidi="ar"/>
        </w:rPr>
        <w:t>诉讼案件代理</w:t>
      </w:r>
    </w:p>
    <w:p>
      <w:pPr>
        <w:spacing w:line="520" w:lineRule="exact"/>
        <w:ind w:firstLine="640" w:firstLineChars="200"/>
        <w:rPr>
          <w:rFonts w:ascii="仿宋" w:hAnsi="仿宋" w:eastAsia="仿宋" w:cs="Calibri"/>
          <w:color w:val="333333"/>
          <w:kern w:val="0"/>
          <w:sz w:val="32"/>
          <w:szCs w:val="32"/>
        </w:rPr>
      </w:pPr>
      <w:r>
        <w:rPr>
          <w:rFonts w:hint="eastAsia" w:ascii="仿宋" w:hAnsi="仿宋" w:eastAsia="仿宋" w:cs="Calibri"/>
          <w:color w:val="333333"/>
          <w:kern w:val="0"/>
          <w:sz w:val="32"/>
          <w:szCs w:val="32"/>
          <w:lang w:bidi="ar"/>
        </w:rPr>
        <w:t>为提高乙方律师服务的积极性，甲方案情简单、标的金额小的仲裁或诉讼案件可直接委托乙方代理，该服务不在法律顾问服务内容的范围内，甲乙双方另行签订委托代理合同。乙方应按龙岩市律师行业协会公布的收费标准分段收费最低限计算律师费（如某段收费为1.5%～4%，则按1.5%计费），并以不超过五折的范围内酌情向甲方收取律师费。</w:t>
      </w:r>
    </w:p>
    <w:p>
      <w:pPr>
        <w:pStyle w:val="7"/>
        <w:spacing w:beforeAutospacing="0" w:afterAutospacing="0" w:line="520" w:lineRule="exact"/>
        <w:ind w:firstLine="643"/>
        <w:jc w:val="both"/>
        <w:rPr>
          <w:rFonts w:hint="default" w:ascii="黑体" w:eastAsia="黑体" w:cs="Calibri"/>
          <w:bCs/>
          <w:color w:val="333333"/>
          <w:sz w:val="32"/>
          <w:szCs w:val="32"/>
        </w:rPr>
      </w:pPr>
      <w:r>
        <w:rPr>
          <w:rFonts w:ascii="黑体" w:eastAsia="黑体" w:cs="Calibri"/>
          <w:bCs/>
          <w:color w:val="333333"/>
          <w:sz w:val="32"/>
          <w:szCs w:val="32"/>
        </w:rPr>
        <w:t>第十条 合同变更和解除</w:t>
      </w:r>
    </w:p>
    <w:p>
      <w:pPr>
        <w:pStyle w:val="7"/>
        <w:spacing w:beforeAutospacing="0" w:afterAutospacing="0" w:line="520" w:lineRule="exact"/>
        <w:ind w:firstLine="640"/>
        <w:jc w:val="both"/>
        <w:rPr>
          <w:rFonts w:hint="default" w:ascii="Calibri" w:hAnsi="Calibri" w:cs="Calibri"/>
          <w:color w:val="333333"/>
          <w:sz w:val="21"/>
          <w:szCs w:val="21"/>
        </w:rPr>
      </w:pPr>
      <w:r>
        <w:rPr>
          <w:rFonts w:ascii="仿宋" w:hAnsi="仿宋" w:eastAsia="仿宋" w:cs="Calibri"/>
          <w:color w:val="333333"/>
          <w:sz w:val="32"/>
          <w:szCs w:val="32"/>
        </w:rPr>
        <w:t>1.甲乙双方经协商同意，可以变更或者解除本合同。</w:t>
      </w:r>
    </w:p>
    <w:p>
      <w:pPr>
        <w:pStyle w:val="7"/>
        <w:spacing w:beforeAutospacing="0" w:afterAutospacing="0" w:line="520" w:lineRule="exact"/>
        <w:ind w:firstLine="640"/>
        <w:jc w:val="both"/>
        <w:rPr>
          <w:rFonts w:hint="default" w:ascii="Calibri" w:hAnsi="Calibri" w:cs="Calibri"/>
          <w:color w:val="333333"/>
          <w:sz w:val="21"/>
          <w:szCs w:val="21"/>
        </w:rPr>
      </w:pPr>
      <w:r>
        <w:rPr>
          <w:rFonts w:ascii="仿宋" w:hAnsi="仿宋" w:eastAsia="仿宋" w:cs="Calibri"/>
          <w:color w:val="333333"/>
          <w:sz w:val="32"/>
          <w:szCs w:val="32"/>
        </w:rPr>
        <w:t>2.乙方有下列情形之一，甲方有权解除合同：</w:t>
      </w:r>
    </w:p>
    <w:p>
      <w:pPr>
        <w:pStyle w:val="7"/>
        <w:spacing w:beforeAutospacing="0" w:afterAutospacing="0" w:line="520" w:lineRule="exact"/>
        <w:ind w:firstLine="640"/>
        <w:jc w:val="both"/>
        <w:rPr>
          <w:rFonts w:hint="default" w:ascii="Calibri" w:hAnsi="Calibri" w:cs="Calibri"/>
          <w:color w:val="333333"/>
          <w:sz w:val="21"/>
          <w:szCs w:val="21"/>
        </w:rPr>
      </w:pPr>
      <w:r>
        <w:rPr>
          <w:rFonts w:ascii="仿宋" w:hAnsi="仿宋" w:eastAsia="仿宋" w:cs="Calibri"/>
          <w:color w:val="333333"/>
          <w:sz w:val="32"/>
          <w:szCs w:val="32"/>
        </w:rPr>
        <w:t>（1）未经甲方同意，乙方擅自更换联系人和律师的；</w:t>
      </w:r>
    </w:p>
    <w:p>
      <w:pPr>
        <w:pStyle w:val="7"/>
        <w:spacing w:beforeAutospacing="0" w:afterAutospacing="0" w:line="520" w:lineRule="exact"/>
        <w:ind w:firstLine="640"/>
        <w:jc w:val="both"/>
        <w:rPr>
          <w:rFonts w:hint="default" w:ascii="Calibri" w:hAnsi="Calibri" w:cs="Calibri"/>
          <w:color w:val="333333"/>
          <w:sz w:val="21"/>
          <w:szCs w:val="21"/>
        </w:rPr>
      </w:pPr>
      <w:r>
        <w:rPr>
          <w:rFonts w:ascii="仿宋" w:hAnsi="仿宋" w:eastAsia="仿宋" w:cs="Calibri"/>
          <w:color w:val="333333"/>
          <w:sz w:val="32"/>
          <w:szCs w:val="32"/>
        </w:rPr>
        <w:t>（2）因乙方指派律师工作延误、失职、失误导致甲方蒙受损失的；</w:t>
      </w:r>
    </w:p>
    <w:p>
      <w:pPr>
        <w:pStyle w:val="7"/>
        <w:spacing w:beforeAutospacing="0" w:afterAutospacing="0" w:line="520" w:lineRule="exact"/>
        <w:ind w:firstLine="640"/>
        <w:jc w:val="both"/>
        <w:rPr>
          <w:rFonts w:hint="default" w:ascii="仿宋" w:hAnsi="仿宋" w:eastAsia="仿宋" w:cs="Calibri"/>
          <w:color w:val="333333"/>
          <w:sz w:val="32"/>
          <w:szCs w:val="32"/>
        </w:rPr>
      </w:pPr>
      <w:r>
        <w:rPr>
          <w:rFonts w:ascii="仿宋" w:hAnsi="仿宋" w:eastAsia="仿宋" w:cs="Calibri"/>
          <w:color w:val="333333"/>
          <w:sz w:val="32"/>
          <w:szCs w:val="32"/>
        </w:rPr>
        <w:t>（3）乙方工作经甲方考核为不合格，且经整改后仍未能符合服务标准和服务要求的。</w:t>
      </w:r>
    </w:p>
    <w:p>
      <w:pPr>
        <w:pStyle w:val="7"/>
        <w:spacing w:beforeAutospacing="0" w:afterAutospacing="0" w:line="520" w:lineRule="exact"/>
        <w:ind w:firstLine="640"/>
        <w:jc w:val="both"/>
        <w:rPr>
          <w:rFonts w:hint="default" w:ascii="Calibri" w:hAnsi="Calibri" w:cs="Calibri"/>
          <w:color w:val="333333"/>
          <w:sz w:val="21"/>
          <w:szCs w:val="21"/>
        </w:rPr>
      </w:pPr>
      <w:r>
        <w:rPr>
          <w:rFonts w:ascii="仿宋" w:hAnsi="仿宋" w:eastAsia="仿宋" w:cs="Calibri"/>
          <w:color w:val="333333"/>
          <w:sz w:val="32"/>
          <w:szCs w:val="32"/>
        </w:rPr>
        <w:t>（4）甲方上级集团对乙方服务组织年度评价，评价差且拒不接受书面改善意见、拒不改正的。</w:t>
      </w:r>
    </w:p>
    <w:p>
      <w:pPr>
        <w:pStyle w:val="7"/>
        <w:spacing w:beforeAutospacing="0" w:afterAutospacing="0" w:line="520" w:lineRule="exact"/>
        <w:ind w:firstLine="640"/>
        <w:jc w:val="both"/>
        <w:rPr>
          <w:rFonts w:hint="default" w:ascii="Calibri" w:hAnsi="Calibri" w:cs="Calibri"/>
          <w:color w:val="333333"/>
          <w:sz w:val="21"/>
          <w:szCs w:val="21"/>
        </w:rPr>
      </w:pPr>
      <w:r>
        <w:rPr>
          <w:rFonts w:ascii="仿宋" w:hAnsi="仿宋" w:eastAsia="仿宋" w:cs="Calibri"/>
          <w:color w:val="333333"/>
          <w:sz w:val="32"/>
          <w:szCs w:val="32"/>
        </w:rPr>
        <w:t>3.甲方依据本条约定解除合同的，不影响甲方追究乙方违约责任的权利；甲方可向司法行政部门、律师协会反映情况。</w:t>
      </w:r>
    </w:p>
    <w:p>
      <w:pPr>
        <w:pStyle w:val="7"/>
        <w:spacing w:beforeAutospacing="0" w:afterAutospacing="0" w:line="520" w:lineRule="exact"/>
        <w:ind w:firstLine="643"/>
        <w:jc w:val="both"/>
        <w:rPr>
          <w:rFonts w:hint="default" w:ascii="黑体" w:eastAsia="黑体" w:cs="Calibri"/>
          <w:bCs/>
          <w:color w:val="333333"/>
          <w:sz w:val="32"/>
          <w:szCs w:val="32"/>
        </w:rPr>
      </w:pPr>
      <w:r>
        <w:rPr>
          <w:rFonts w:ascii="黑体" w:eastAsia="黑体" w:cs="Calibri"/>
          <w:bCs/>
          <w:color w:val="333333"/>
          <w:sz w:val="32"/>
          <w:szCs w:val="32"/>
        </w:rPr>
        <w:t>第十一条 违约责任</w:t>
      </w:r>
    </w:p>
    <w:p>
      <w:pPr>
        <w:pStyle w:val="7"/>
        <w:spacing w:beforeAutospacing="0" w:afterAutospacing="0" w:line="520" w:lineRule="exact"/>
        <w:ind w:firstLine="640" w:firstLineChars="200"/>
        <w:jc w:val="both"/>
        <w:rPr>
          <w:rFonts w:hint="default" w:ascii="仿宋" w:hAnsi="仿宋" w:eastAsia="仿宋" w:cs="Calibri"/>
          <w:color w:val="333333"/>
          <w:sz w:val="32"/>
          <w:szCs w:val="32"/>
        </w:rPr>
      </w:pPr>
      <w:r>
        <w:rPr>
          <w:rFonts w:ascii="仿宋" w:hAnsi="仿宋" w:eastAsia="仿宋" w:cs="Calibri"/>
          <w:color w:val="333333"/>
          <w:sz w:val="32"/>
          <w:szCs w:val="32"/>
        </w:rPr>
        <w:t>1.乙方无正当理由解除本合同或停止提供法律服务、拒绝履行义务的，甲方有权要求乙方退还部分或者全部已付的法律顾问费，并且乙方应赔偿因此给甲方造成的损失。</w:t>
      </w:r>
    </w:p>
    <w:p>
      <w:pPr>
        <w:pStyle w:val="7"/>
        <w:spacing w:beforeAutospacing="0" w:afterAutospacing="0" w:line="520" w:lineRule="exact"/>
        <w:ind w:firstLine="640" w:firstLineChars="200"/>
        <w:jc w:val="both"/>
        <w:rPr>
          <w:rFonts w:hint="default" w:ascii="仿宋" w:hAnsi="仿宋" w:eastAsia="仿宋" w:cs="Calibri"/>
          <w:color w:val="333333"/>
          <w:sz w:val="32"/>
          <w:szCs w:val="32"/>
        </w:rPr>
      </w:pPr>
      <w:r>
        <w:rPr>
          <w:rFonts w:ascii="仿宋" w:hAnsi="仿宋" w:eastAsia="仿宋" w:cs="Calibri"/>
          <w:color w:val="333333"/>
          <w:sz w:val="32"/>
          <w:szCs w:val="32"/>
        </w:rPr>
        <w:t>2.甲方无正当理由不支付法律顾问费或者无故解除本合同，乙方有权要求甲方支付未支付的法律顾问费。</w:t>
      </w:r>
    </w:p>
    <w:p>
      <w:pPr>
        <w:pStyle w:val="7"/>
        <w:spacing w:beforeAutospacing="0" w:afterAutospacing="0" w:line="520" w:lineRule="exact"/>
        <w:ind w:firstLine="640" w:firstLineChars="200"/>
        <w:jc w:val="both"/>
        <w:rPr>
          <w:rFonts w:hint="default" w:ascii="仿宋" w:hAnsi="仿宋" w:eastAsia="仿宋" w:cs="Calibri"/>
          <w:color w:val="333333"/>
          <w:sz w:val="32"/>
          <w:szCs w:val="32"/>
        </w:rPr>
      </w:pPr>
      <w:r>
        <w:rPr>
          <w:rFonts w:ascii="仿宋" w:hAnsi="仿宋" w:eastAsia="仿宋" w:cs="Calibri"/>
          <w:color w:val="333333"/>
          <w:sz w:val="32"/>
          <w:szCs w:val="32"/>
        </w:rPr>
        <w:t>3.乙方指派律师因重大工作失职、失误导致甲方及其服务对象蒙受损失，乙方应当通过其所投保的执业保险向甲方赔偿责任。执业保险赔偿部分不足于弥补甲方直接经济损失的，甲方有权就超出部分继续要求乙方赔偿。</w:t>
      </w:r>
    </w:p>
    <w:p>
      <w:pPr>
        <w:pStyle w:val="7"/>
        <w:spacing w:beforeAutospacing="0" w:afterAutospacing="0" w:line="520" w:lineRule="exact"/>
        <w:ind w:firstLine="643"/>
        <w:jc w:val="both"/>
        <w:rPr>
          <w:rFonts w:hint="default" w:ascii="黑体" w:eastAsia="黑体" w:cs="Calibri"/>
          <w:bCs/>
          <w:color w:val="333333"/>
          <w:sz w:val="32"/>
          <w:szCs w:val="32"/>
        </w:rPr>
      </w:pPr>
      <w:r>
        <w:rPr>
          <w:rFonts w:ascii="黑体" w:eastAsia="黑体" w:cs="Calibri"/>
          <w:bCs/>
          <w:color w:val="333333"/>
          <w:sz w:val="32"/>
          <w:szCs w:val="32"/>
        </w:rPr>
        <w:t>第十二条 争议的解决</w:t>
      </w:r>
    </w:p>
    <w:p>
      <w:pPr>
        <w:pStyle w:val="7"/>
        <w:spacing w:beforeAutospacing="0" w:afterAutospacing="0" w:line="520" w:lineRule="exact"/>
        <w:ind w:firstLine="640"/>
        <w:jc w:val="both"/>
        <w:rPr>
          <w:rFonts w:hint="default" w:ascii="Calibri" w:hAnsi="Calibri" w:cs="Calibri"/>
          <w:color w:val="333333"/>
          <w:sz w:val="21"/>
          <w:szCs w:val="21"/>
        </w:rPr>
      </w:pPr>
      <w:r>
        <w:rPr>
          <w:rFonts w:ascii="仿宋" w:hAnsi="仿宋" w:eastAsia="仿宋" w:cs="Calibri"/>
          <w:color w:val="333333"/>
          <w:sz w:val="32"/>
          <w:szCs w:val="32"/>
        </w:rPr>
        <w:t>凡因本协议引起的或与本协议有关的任何争议，由双方友好协商解决。协商不成时，依法向</w:t>
      </w:r>
      <w:r>
        <w:rPr>
          <w:rFonts w:ascii="Calibri" w:hAnsi="Calibri" w:eastAsia="仿宋" w:cs="Calibri"/>
          <w:color w:val="333333"/>
          <w:sz w:val="32"/>
          <w:szCs w:val="32"/>
        </w:rPr>
        <w:t>合同签订所在地</w:t>
      </w:r>
      <w:r>
        <w:rPr>
          <w:rFonts w:ascii="仿宋" w:hAnsi="仿宋" w:eastAsia="仿宋" w:cs="Calibri"/>
          <w:color w:val="333333"/>
          <w:sz w:val="32"/>
          <w:szCs w:val="32"/>
        </w:rPr>
        <w:t>人民法院起诉。</w:t>
      </w:r>
    </w:p>
    <w:p>
      <w:pPr>
        <w:pStyle w:val="7"/>
        <w:spacing w:beforeAutospacing="0" w:afterAutospacing="0" w:line="520" w:lineRule="exact"/>
        <w:ind w:firstLine="643"/>
        <w:jc w:val="both"/>
        <w:rPr>
          <w:rFonts w:hint="default" w:ascii="黑体" w:eastAsia="黑体" w:cs="Calibri"/>
          <w:bCs/>
          <w:color w:val="333333"/>
          <w:sz w:val="32"/>
          <w:szCs w:val="32"/>
        </w:rPr>
      </w:pPr>
      <w:r>
        <w:rPr>
          <w:rFonts w:ascii="黑体" w:eastAsia="黑体" w:cs="Calibri"/>
          <w:bCs/>
          <w:color w:val="333333"/>
          <w:sz w:val="32"/>
          <w:szCs w:val="32"/>
        </w:rPr>
        <w:t>第十三条 通知和送达</w:t>
      </w:r>
    </w:p>
    <w:p>
      <w:pPr>
        <w:pStyle w:val="7"/>
        <w:spacing w:beforeAutospacing="0" w:afterAutospacing="0" w:line="520" w:lineRule="exact"/>
        <w:ind w:firstLine="640"/>
        <w:jc w:val="both"/>
        <w:rPr>
          <w:rFonts w:hint="default" w:ascii="Calibri" w:hAnsi="Calibri" w:cs="Calibri"/>
          <w:color w:val="333333"/>
          <w:sz w:val="21"/>
          <w:szCs w:val="21"/>
        </w:rPr>
      </w:pPr>
      <w:r>
        <w:rPr>
          <w:rFonts w:ascii="仿宋" w:hAnsi="仿宋" w:eastAsia="仿宋" w:cs="Calibri"/>
          <w:color w:val="333333"/>
          <w:sz w:val="32"/>
          <w:szCs w:val="32"/>
        </w:rPr>
        <w:t>甲乙双方因履行本合同而相互发出或者提供的所有通知、文件、资料，均以本合同所列明的地址送达，任何一方变更通信地址或联系方式的，应当事先书面通知对方。</w:t>
      </w:r>
    </w:p>
    <w:p>
      <w:pPr>
        <w:pStyle w:val="7"/>
        <w:spacing w:beforeAutospacing="0" w:afterAutospacing="0" w:line="520" w:lineRule="exact"/>
        <w:ind w:firstLine="643"/>
        <w:jc w:val="both"/>
        <w:rPr>
          <w:rFonts w:hint="default" w:ascii="黑体" w:eastAsia="黑体" w:cs="Calibri"/>
          <w:bCs/>
          <w:color w:val="333333"/>
          <w:sz w:val="32"/>
          <w:szCs w:val="32"/>
        </w:rPr>
      </w:pPr>
      <w:r>
        <w:rPr>
          <w:rFonts w:ascii="黑体" w:eastAsia="黑体" w:cs="Calibri"/>
          <w:bCs/>
          <w:color w:val="333333"/>
          <w:sz w:val="32"/>
          <w:szCs w:val="32"/>
        </w:rPr>
        <w:t>第十四条 其他事项</w:t>
      </w:r>
    </w:p>
    <w:p>
      <w:pPr>
        <w:pStyle w:val="7"/>
        <w:spacing w:beforeAutospacing="0" w:afterAutospacing="0" w:line="520" w:lineRule="exact"/>
        <w:ind w:firstLine="640"/>
        <w:jc w:val="both"/>
        <w:rPr>
          <w:rFonts w:hint="default" w:ascii="Calibri" w:hAnsi="Calibri" w:cs="Calibri"/>
          <w:color w:val="333333"/>
          <w:sz w:val="21"/>
          <w:szCs w:val="21"/>
        </w:rPr>
      </w:pPr>
      <w:r>
        <w:rPr>
          <w:rFonts w:ascii="仿宋" w:hAnsi="仿宋" w:eastAsia="仿宋" w:cs="Calibri"/>
          <w:color w:val="333333"/>
          <w:sz w:val="32"/>
          <w:szCs w:val="32"/>
        </w:rPr>
        <w:t>1.本合同经甲乙双方签字盖章后生效。</w:t>
      </w:r>
    </w:p>
    <w:p>
      <w:pPr>
        <w:pStyle w:val="7"/>
        <w:spacing w:beforeAutospacing="0" w:afterAutospacing="0" w:line="520" w:lineRule="exact"/>
        <w:ind w:firstLine="640"/>
        <w:jc w:val="both"/>
        <w:rPr>
          <w:rFonts w:hint="default" w:ascii="仿宋" w:hAnsi="仿宋" w:eastAsia="仿宋" w:cs="Calibri"/>
          <w:color w:val="333333"/>
          <w:sz w:val="32"/>
          <w:szCs w:val="32"/>
        </w:rPr>
      </w:pPr>
      <w:r>
        <w:rPr>
          <w:rFonts w:ascii="仿宋" w:hAnsi="仿宋" w:eastAsia="仿宋" w:cs="Calibri"/>
          <w:color w:val="333333"/>
          <w:sz w:val="32"/>
          <w:szCs w:val="32"/>
        </w:rPr>
        <w:t>2.本合同一式两份，双方各持一份。</w:t>
      </w:r>
    </w:p>
    <w:p>
      <w:pPr>
        <w:pStyle w:val="7"/>
        <w:spacing w:line="520" w:lineRule="exact"/>
        <w:ind w:firstLine="640"/>
        <w:rPr>
          <w:rFonts w:hint="default"/>
        </w:rPr>
      </w:pPr>
    </w:p>
    <w:p>
      <w:pPr>
        <w:spacing w:line="520" w:lineRule="exact"/>
        <w:ind w:firstLine="640" w:firstLineChars="200"/>
        <w:rPr>
          <w:rFonts w:ascii="仿宋" w:hAnsi="仿宋" w:eastAsia="仿宋" w:cs="Calibri"/>
          <w:color w:val="333333"/>
          <w:kern w:val="0"/>
          <w:sz w:val="32"/>
          <w:szCs w:val="32"/>
        </w:rPr>
      </w:pPr>
      <w:bookmarkStart w:id="0" w:name="OLE_LINK14"/>
      <w:bookmarkStart w:id="1" w:name="OLE_LINK13"/>
      <w:bookmarkStart w:id="2" w:name="OLE_LINK15"/>
      <w:bookmarkStart w:id="3" w:name="OLE_LINK12"/>
      <w:bookmarkStart w:id="4" w:name="OLE_LINK16"/>
      <w:r>
        <w:rPr>
          <w:rFonts w:hint="eastAsia" w:ascii="仿宋" w:hAnsi="仿宋" w:eastAsia="仿宋" w:cs="Calibri"/>
          <w:color w:val="333333"/>
          <w:kern w:val="0"/>
          <w:sz w:val="32"/>
          <w:szCs w:val="32"/>
        </w:rPr>
        <w:t>甲  方：                             乙  方：</w:t>
      </w:r>
      <w:bookmarkEnd w:id="0"/>
      <w:bookmarkEnd w:id="1"/>
      <w:bookmarkEnd w:id="2"/>
    </w:p>
    <w:p>
      <w:pPr>
        <w:spacing w:line="520" w:lineRule="exact"/>
        <w:ind w:firstLine="640" w:firstLineChars="200"/>
        <w:rPr>
          <w:rFonts w:ascii="仿宋" w:hAnsi="仿宋" w:eastAsia="仿宋" w:cs="Calibri"/>
          <w:color w:val="333333"/>
          <w:kern w:val="0"/>
          <w:sz w:val="32"/>
          <w:szCs w:val="32"/>
        </w:rPr>
      </w:pPr>
      <w:r>
        <w:rPr>
          <w:rFonts w:hint="eastAsia" w:ascii="仿宋" w:hAnsi="仿宋" w:eastAsia="仿宋" w:cs="Calibri"/>
          <w:color w:val="333333"/>
          <w:kern w:val="0"/>
          <w:sz w:val="32"/>
          <w:szCs w:val="32"/>
        </w:rPr>
        <w:t>代  表：                             代  表：</w:t>
      </w:r>
    </w:p>
    <w:p>
      <w:pPr>
        <w:spacing w:line="520" w:lineRule="exact"/>
        <w:ind w:firstLine="640" w:firstLineChars="200"/>
        <w:rPr>
          <w:rFonts w:ascii="仿宋" w:hAnsi="仿宋" w:eastAsia="仿宋" w:cs="Calibri"/>
          <w:color w:val="333333"/>
          <w:kern w:val="0"/>
          <w:sz w:val="32"/>
          <w:szCs w:val="32"/>
        </w:rPr>
      </w:pPr>
      <w:r>
        <w:rPr>
          <w:rFonts w:hint="eastAsia" w:ascii="仿宋" w:hAnsi="仿宋" w:eastAsia="仿宋" w:cs="Calibri"/>
          <w:color w:val="333333"/>
          <w:kern w:val="0"/>
          <w:sz w:val="32"/>
          <w:szCs w:val="32"/>
        </w:rPr>
        <w:t>电  话：                             电  话：</w:t>
      </w:r>
    </w:p>
    <w:p>
      <w:pPr>
        <w:spacing w:line="520" w:lineRule="exact"/>
        <w:ind w:firstLine="640" w:firstLineChars="200"/>
        <w:rPr>
          <w:rFonts w:ascii="仿宋" w:hAnsi="仿宋" w:eastAsia="仿宋" w:cs="Calibri"/>
          <w:color w:val="333333"/>
          <w:kern w:val="0"/>
          <w:sz w:val="32"/>
          <w:szCs w:val="32"/>
        </w:rPr>
      </w:pPr>
      <w:r>
        <w:rPr>
          <w:rFonts w:hint="eastAsia" w:ascii="仿宋" w:hAnsi="仿宋" w:eastAsia="仿宋" w:cs="Calibri"/>
          <w:color w:val="333333"/>
          <w:kern w:val="0"/>
          <w:sz w:val="32"/>
          <w:szCs w:val="32"/>
        </w:rPr>
        <w:t>邮  箱：                             邮  箱：</w:t>
      </w:r>
    </w:p>
    <w:bookmarkEnd w:id="3"/>
    <w:bookmarkEnd w:id="4"/>
    <w:p>
      <w:pPr>
        <w:spacing w:line="520" w:lineRule="exact"/>
        <w:ind w:firstLine="560" w:firstLineChars="200"/>
        <w:rPr>
          <w:rFonts w:ascii="仿宋_GB2312" w:hAnsi="仿宋_GB2312" w:eastAsia="仿宋_GB2312" w:cs="仿宋_GB2312"/>
          <w:sz w:val="28"/>
          <w:szCs w:val="28"/>
        </w:rPr>
      </w:pPr>
    </w:p>
    <w:p>
      <w:pPr>
        <w:spacing w:line="520" w:lineRule="exact"/>
        <w:ind w:firstLine="640" w:firstLineChars="200"/>
        <w:rPr>
          <w:rFonts w:ascii="仿宋" w:hAnsi="仿宋" w:eastAsia="仿宋" w:cs="Calibri"/>
          <w:color w:val="333333"/>
          <w:kern w:val="0"/>
          <w:sz w:val="32"/>
          <w:szCs w:val="32"/>
        </w:rPr>
      </w:pPr>
      <w:r>
        <w:rPr>
          <w:rFonts w:hint="eastAsia" w:ascii="仿宋" w:hAnsi="仿宋" w:eastAsia="仿宋" w:cs="Calibri"/>
          <w:color w:val="333333"/>
          <w:kern w:val="0"/>
          <w:sz w:val="32"/>
          <w:szCs w:val="32"/>
        </w:rPr>
        <w:t>签订地点：龙岩市新罗区</w:t>
      </w:r>
    </w:p>
    <w:p>
      <w:pPr>
        <w:spacing w:line="520" w:lineRule="exact"/>
        <w:ind w:firstLine="640" w:firstLineChars="200"/>
        <w:rPr>
          <w:rFonts w:ascii="仿宋" w:hAnsi="仿宋" w:eastAsia="仿宋" w:cs="仿宋"/>
          <w:sz w:val="32"/>
          <w:szCs w:val="32"/>
        </w:rPr>
      </w:pPr>
      <w:r>
        <w:rPr>
          <w:rFonts w:hint="eastAsia" w:ascii="仿宋" w:hAnsi="仿宋" w:eastAsia="仿宋" w:cs="Calibri"/>
          <w:color w:val="333333"/>
          <w:kern w:val="0"/>
          <w:sz w:val="32"/>
          <w:szCs w:val="32"/>
        </w:rPr>
        <w:t>签订日期：   年   月  日</w:t>
      </w:r>
    </w:p>
    <w:p>
      <w:pPr>
        <w:pStyle w:val="7"/>
        <w:spacing w:before="226" w:beforeAutospacing="0" w:afterAutospacing="0"/>
        <w:jc w:val="both"/>
        <w:rPr>
          <w:rFonts w:hint="default" w:ascii="黑体" w:eastAsia="黑体" w:cs="黑体"/>
          <w:sz w:val="32"/>
          <w:szCs w:val="32"/>
        </w:rPr>
      </w:pPr>
      <w:r>
        <w:rPr>
          <w:rFonts w:ascii="黑体" w:eastAsia="黑体" w:cs="黑体"/>
          <w:sz w:val="32"/>
          <w:szCs w:val="32"/>
        </w:rPr>
        <w:t>附件2</w:t>
      </w:r>
    </w:p>
    <w:p>
      <w:pPr>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lang w:bidi="ar"/>
        </w:rPr>
        <w:t>龙岩市国资委法律机构备选库名单</w:t>
      </w:r>
    </w:p>
    <w:tbl>
      <w:tblPr>
        <w:tblStyle w:val="8"/>
        <w:tblpPr w:leftFromText="180" w:rightFromText="180" w:vertAnchor="text" w:horzAnchor="page" w:tblpX="1954" w:tblpY="269"/>
        <w:tblOverlap w:val="never"/>
        <w:tblW w:w="4801" w:type="pct"/>
        <w:tblInd w:w="0" w:type="dxa"/>
        <w:shd w:val="clear" w:color="auto" w:fill="FFFFFF"/>
        <w:tblLayout w:type="autofit"/>
        <w:tblCellMar>
          <w:top w:w="0" w:type="dxa"/>
          <w:left w:w="0" w:type="dxa"/>
          <w:bottom w:w="0" w:type="dxa"/>
          <w:right w:w="0" w:type="dxa"/>
        </w:tblCellMar>
      </w:tblPr>
      <w:tblGrid>
        <w:gridCol w:w="1500"/>
        <w:gridCol w:w="6619"/>
      </w:tblGrid>
      <w:tr>
        <w:tblPrEx>
          <w:shd w:val="clear" w:color="auto" w:fill="FFFFFF"/>
          <w:tblCellMar>
            <w:top w:w="0" w:type="dxa"/>
            <w:left w:w="0" w:type="dxa"/>
            <w:bottom w:w="0" w:type="dxa"/>
            <w:right w:w="0" w:type="dxa"/>
          </w:tblCellMar>
        </w:tblPrEx>
        <w:trPr>
          <w:trHeight w:val="397" w:hRule="atLeast"/>
        </w:trPr>
        <w:tc>
          <w:tcPr>
            <w:tcW w:w="5000" w:type="pct"/>
            <w:gridSpan w:val="2"/>
            <w:tcBorders>
              <w:top w:val="single" w:color="333333" w:sz="6" w:space="0"/>
              <w:left w:val="single" w:color="333333" w:sz="6" w:space="0"/>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kern w:val="0"/>
                <w:sz w:val="32"/>
                <w:szCs w:val="32"/>
                <w:lang w:bidi="ar"/>
              </w:rPr>
              <w:t>龙岩市市属国有企业律师机构备选库</w:t>
            </w:r>
          </w:p>
        </w:tc>
      </w:tr>
      <w:tr>
        <w:tblPrEx>
          <w:tblCellMar>
            <w:top w:w="0" w:type="dxa"/>
            <w:left w:w="0" w:type="dxa"/>
            <w:bottom w:w="0" w:type="dxa"/>
            <w:right w:w="0" w:type="dxa"/>
          </w:tblCellMar>
        </w:tblPrEx>
        <w:trPr>
          <w:trHeight w:val="397" w:hRule="atLeast"/>
        </w:trPr>
        <w:tc>
          <w:tcPr>
            <w:tcW w:w="924" w:type="pct"/>
            <w:tcBorders>
              <w:top w:val="nil"/>
              <w:left w:val="single" w:color="333333" w:sz="6" w:space="0"/>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kern w:val="0"/>
                <w:sz w:val="32"/>
                <w:szCs w:val="32"/>
                <w:lang w:bidi="ar"/>
              </w:rPr>
              <w:t>序号</w:t>
            </w:r>
          </w:p>
        </w:tc>
        <w:tc>
          <w:tcPr>
            <w:tcW w:w="4074" w:type="pct"/>
            <w:tcBorders>
              <w:top w:val="nil"/>
              <w:left w:val="nil"/>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kern w:val="0"/>
                <w:sz w:val="32"/>
                <w:szCs w:val="32"/>
                <w:lang w:bidi="ar"/>
              </w:rPr>
              <w:t>名称</w:t>
            </w:r>
          </w:p>
        </w:tc>
      </w:tr>
      <w:tr>
        <w:tblPrEx>
          <w:tblCellMar>
            <w:top w:w="0" w:type="dxa"/>
            <w:left w:w="0" w:type="dxa"/>
            <w:bottom w:w="0" w:type="dxa"/>
            <w:right w:w="0" w:type="dxa"/>
          </w:tblCellMar>
        </w:tblPrEx>
        <w:trPr>
          <w:trHeight w:val="397" w:hRule="atLeast"/>
        </w:trPr>
        <w:tc>
          <w:tcPr>
            <w:tcW w:w="924" w:type="pct"/>
            <w:tcBorders>
              <w:top w:val="nil"/>
              <w:left w:val="single" w:color="333333" w:sz="6" w:space="0"/>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ascii="Times New Roman" w:hAnsi="Times New Roman" w:eastAsia="仿宋" w:cs="仿宋"/>
                <w:color w:val="333333"/>
                <w:kern w:val="0"/>
                <w:sz w:val="32"/>
                <w:szCs w:val="32"/>
                <w:lang w:bidi="ar"/>
              </w:rPr>
              <w:t>1</w:t>
            </w:r>
          </w:p>
        </w:tc>
        <w:tc>
          <w:tcPr>
            <w:tcW w:w="4074" w:type="pct"/>
            <w:tcBorders>
              <w:top w:val="nil"/>
              <w:left w:val="nil"/>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kern w:val="0"/>
                <w:sz w:val="32"/>
                <w:szCs w:val="32"/>
                <w:lang w:bidi="ar"/>
              </w:rPr>
              <w:t>福建紫杉律师事务所</w:t>
            </w:r>
          </w:p>
        </w:tc>
      </w:tr>
      <w:tr>
        <w:tblPrEx>
          <w:tblCellMar>
            <w:top w:w="0" w:type="dxa"/>
            <w:left w:w="0" w:type="dxa"/>
            <w:bottom w:w="0" w:type="dxa"/>
            <w:right w:w="0" w:type="dxa"/>
          </w:tblCellMar>
        </w:tblPrEx>
        <w:trPr>
          <w:trHeight w:val="397" w:hRule="atLeast"/>
        </w:trPr>
        <w:tc>
          <w:tcPr>
            <w:tcW w:w="924" w:type="pct"/>
            <w:tcBorders>
              <w:top w:val="nil"/>
              <w:left w:val="single" w:color="333333" w:sz="6" w:space="0"/>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ascii="Times New Roman" w:hAnsi="Times New Roman" w:eastAsia="仿宋" w:cs="仿宋"/>
                <w:color w:val="333333"/>
                <w:kern w:val="0"/>
                <w:sz w:val="32"/>
                <w:szCs w:val="32"/>
                <w:lang w:bidi="ar"/>
              </w:rPr>
              <w:t>2</w:t>
            </w:r>
          </w:p>
        </w:tc>
        <w:tc>
          <w:tcPr>
            <w:tcW w:w="4074" w:type="pct"/>
            <w:tcBorders>
              <w:top w:val="nil"/>
              <w:left w:val="nil"/>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kern w:val="0"/>
                <w:sz w:val="32"/>
                <w:szCs w:val="32"/>
                <w:lang w:bidi="ar"/>
              </w:rPr>
              <w:t>福建瀛楠律师事务所</w:t>
            </w:r>
          </w:p>
        </w:tc>
      </w:tr>
      <w:tr>
        <w:tblPrEx>
          <w:tblCellMar>
            <w:top w:w="0" w:type="dxa"/>
            <w:left w:w="0" w:type="dxa"/>
            <w:bottom w:w="0" w:type="dxa"/>
            <w:right w:w="0" w:type="dxa"/>
          </w:tblCellMar>
        </w:tblPrEx>
        <w:trPr>
          <w:trHeight w:val="397" w:hRule="atLeast"/>
        </w:trPr>
        <w:tc>
          <w:tcPr>
            <w:tcW w:w="924" w:type="pct"/>
            <w:tcBorders>
              <w:top w:val="nil"/>
              <w:left w:val="single" w:color="333333" w:sz="6" w:space="0"/>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ascii="Times New Roman" w:hAnsi="Times New Roman" w:eastAsia="仿宋" w:cs="仿宋"/>
                <w:color w:val="333333"/>
                <w:kern w:val="0"/>
                <w:sz w:val="32"/>
                <w:szCs w:val="32"/>
                <w:lang w:bidi="ar"/>
              </w:rPr>
              <w:t>3</w:t>
            </w:r>
          </w:p>
        </w:tc>
        <w:tc>
          <w:tcPr>
            <w:tcW w:w="4074" w:type="pct"/>
            <w:tcBorders>
              <w:top w:val="nil"/>
              <w:left w:val="nil"/>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kern w:val="0"/>
                <w:sz w:val="32"/>
                <w:szCs w:val="32"/>
                <w:lang w:bidi="ar"/>
              </w:rPr>
              <w:t>福建岩风律师事务所</w:t>
            </w:r>
          </w:p>
        </w:tc>
      </w:tr>
      <w:tr>
        <w:tblPrEx>
          <w:tblCellMar>
            <w:top w:w="0" w:type="dxa"/>
            <w:left w:w="0" w:type="dxa"/>
            <w:bottom w:w="0" w:type="dxa"/>
            <w:right w:w="0" w:type="dxa"/>
          </w:tblCellMar>
        </w:tblPrEx>
        <w:trPr>
          <w:trHeight w:val="397" w:hRule="atLeast"/>
        </w:trPr>
        <w:tc>
          <w:tcPr>
            <w:tcW w:w="924" w:type="pct"/>
            <w:tcBorders>
              <w:top w:val="nil"/>
              <w:left w:val="single" w:color="333333" w:sz="6" w:space="0"/>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ascii="Times New Roman" w:hAnsi="Times New Roman" w:eastAsia="仿宋" w:cs="仿宋"/>
                <w:color w:val="333333"/>
                <w:kern w:val="0"/>
                <w:sz w:val="32"/>
                <w:szCs w:val="32"/>
                <w:lang w:bidi="ar"/>
              </w:rPr>
              <w:t>4</w:t>
            </w:r>
          </w:p>
        </w:tc>
        <w:tc>
          <w:tcPr>
            <w:tcW w:w="4074" w:type="pct"/>
            <w:tcBorders>
              <w:top w:val="nil"/>
              <w:left w:val="nil"/>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kern w:val="0"/>
                <w:sz w:val="32"/>
                <w:szCs w:val="32"/>
                <w:lang w:bidi="ar"/>
              </w:rPr>
              <w:t>福建至信律师事务所</w:t>
            </w:r>
          </w:p>
        </w:tc>
      </w:tr>
      <w:tr>
        <w:tblPrEx>
          <w:tblCellMar>
            <w:top w:w="0" w:type="dxa"/>
            <w:left w:w="0" w:type="dxa"/>
            <w:bottom w:w="0" w:type="dxa"/>
            <w:right w:w="0" w:type="dxa"/>
          </w:tblCellMar>
        </w:tblPrEx>
        <w:trPr>
          <w:trHeight w:val="397" w:hRule="atLeast"/>
        </w:trPr>
        <w:tc>
          <w:tcPr>
            <w:tcW w:w="924" w:type="pct"/>
            <w:tcBorders>
              <w:top w:val="nil"/>
              <w:left w:val="single" w:color="333333" w:sz="6" w:space="0"/>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ascii="Times New Roman" w:hAnsi="Times New Roman" w:eastAsia="仿宋" w:cs="仿宋"/>
                <w:color w:val="333333"/>
                <w:kern w:val="0"/>
                <w:sz w:val="32"/>
                <w:szCs w:val="32"/>
                <w:lang w:bidi="ar"/>
              </w:rPr>
              <w:t>5</w:t>
            </w:r>
          </w:p>
        </w:tc>
        <w:tc>
          <w:tcPr>
            <w:tcW w:w="4074" w:type="pct"/>
            <w:tcBorders>
              <w:top w:val="nil"/>
              <w:left w:val="nil"/>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kern w:val="0"/>
                <w:sz w:val="32"/>
                <w:szCs w:val="32"/>
                <w:lang w:bidi="ar"/>
              </w:rPr>
              <w:t>福建博平律师事务所</w:t>
            </w:r>
          </w:p>
        </w:tc>
      </w:tr>
      <w:tr>
        <w:tblPrEx>
          <w:tblCellMar>
            <w:top w:w="0" w:type="dxa"/>
            <w:left w:w="0" w:type="dxa"/>
            <w:bottom w:w="0" w:type="dxa"/>
            <w:right w:w="0" w:type="dxa"/>
          </w:tblCellMar>
        </w:tblPrEx>
        <w:trPr>
          <w:trHeight w:val="397" w:hRule="atLeast"/>
        </w:trPr>
        <w:tc>
          <w:tcPr>
            <w:tcW w:w="924" w:type="pct"/>
            <w:tcBorders>
              <w:top w:val="nil"/>
              <w:left w:val="single" w:color="333333" w:sz="6" w:space="0"/>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ascii="Times New Roman" w:hAnsi="Times New Roman" w:eastAsia="仿宋" w:cs="仿宋"/>
                <w:color w:val="333333"/>
                <w:kern w:val="0"/>
                <w:sz w:val="32"/>
                <w:szCs w:val="32"/>
                <w:lang w:bidi="ar"/>
              </w:rPr>
              <w:t>6</w:t>
            </w:r>
          </w:p>
        </w:tc>
        <w:tc>
          <w:tcPr>
            <w:tcW w:w="4074" w:type="pct"/>
            <w:tcBorders>
              <w:top w:val="nil"/>
              <w:left w:val="nil"/>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kern w:val="0"/>
                <w:sz w:val="32"/>
                <w:szCs w:val="32"/>
                <w:lang w:bidi="ar"/>
              </w:rPr>
              <w:t>福建力涵律师事务所</w:t>
            </w:r>
          </w:p>
        </w:tc>
      </w:tr>
      <w:tr>
        <w:tblPrEx>
          <w:tblCellMar>
            <w:top w:w="0" w:type="dxa"/>
            <w:left w:w="0" w:type="dxa"/>
            <w:bottom w:w="0" w:type="dxa"/>
            <w:right w:w="0" w:type="dxa"/>
          </w:tblCellMar>
        </w:tblPrEx>
        <w:trPr>
          <w:trHeight w:val="397" w:hRule="atLeast"/>
        </w:trPr>
        <w:tc>
          <w:tcPr>
            <w:tcW w:w="924" w:type="pct"/>
            <w:tcBorders>
              <w:top w:val="nil"/>
              <w:left w:val="single" w:color="333333" w:sz="6" w:space="0"/>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ascii="Times New Roman" w:hAnsi="Times New Roman" w:eastAsia="仿宋" w:cs="仿宋"/>
                <w:color w:val="333333"/>
                <w:kern w:val="0"/>
                <w:sz w:val="32"/>
                <w:szCs w:val="32"/>
                <w:lang w:bidi="ar"/>
              </w:rPr>
              <w:t>7</w:t>
            </w:r>
          </w:p>
        </w:tc>
        <w:tc>
          <w:tcPr>
            <w:tcW w:w="4074" w:type="pct"/>
            <w:tcBorders>
              <w:top w:val="nil"/>
              <w:left w:val="nil"/>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kern w:val="0"/>
                <w:sz w:val="32"/>
                <w:szCs w:val="32"/>
                <w:lang w:bidi="ar"/>
              </w:rPr>
              <w:t>福建联合信实（龙岩）律师事务所</w:t>
            </w:r>
          </w:p>
        </w:tc>
      </w:tr>
      <w:tr>
        <w:tblPrEx>
          <w:tblCellMar>
            <w:top w:w="0" w:type="dxa"/>
            <w:left w:w="0" w:type="dxa"/>
            <w:bottom w:w="0" w:type="dxa"/>
            <w:right w:w="0" w:type="dxa"/>
          </w:tblCellMar>
        </w:tblPrEx>
        <w:trPr>
          <w:trHeight w:val="397" w:hRule="atLeast"/>
        </w:trPr>
        <w:tc>
          <w:tcPr>
            <w:tcW w:w="924" w:type="pct"/>
            <w:tcBorders>
              <w:top w:val="nil"/>
              <w:left w:val="single" w:color="333333" w:sz="6" w:space="0"/>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ascii="Times New Roman" w:hAnsi="Times New Roman" w:eastAsia="仿宋" w:cs="仿宋"/>
                <w:color w:val="333333"/>
                <w:kern w:val="0"/>
                <w:sz w:val="32"/>
                <w:szCs w:val="32"/>
                <w:lang w:bidi="ar"/>
              </w:rPr>
              <w:t>8</w:t>
            </w:r>
          </w:p>
        </w:tc>
        <w:tc>
          <w:tcPr>
            <w:tcW w:w="4074" w:type="pct"/>
            <w:tcBorders>
              <w:top w:val="nil"/>
              <w:left w:val="nil"/>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kern w:val="0"/>
                <w:sz w:val="32"/>
                <w:szCs w:val="32"/>
                <w:lang w:bidi="ar"/>
              </w:rPr>
              <w:t>福建远大联盟（龙岩）律师事务所</w:t>
            </w:r>
          </w:p>
        </w:tc>
      </w:tr>
      <w:tr>
        <w:tblPrEx>
          <w:tblCellMar>
            <w:top w:w="0" w:type="dxa"/>
            <w:left w:w="0" w:type="dxa"/>
            <w:bottom w:w="0" w:type="dxa"/>
            <w:right w:w="0" w:type="dxa"/>
          </w:tblCellMar>
        </w:tblPrEx>
        <w:trPr>
          <w:trHeight w:val="397" w:hRule="atLeast"/>
        </w:trPr>
        <w:tc>
          <w:tcPr>
            <w:tcW w:w="924" w:type="pct"/>
            <w:tcBorders>
              <w:top w:val="nil"/>
              <w:left w:val="single" w:color="333333" w:sz="6" w:space="0"/>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ascii="Times New Roman" w:hAnsi="Times New Roman" w:eastAsia="仿宋" w:cs="仿宋"/>
                <w:color w:val="333333"/>
                <w:kern w:val="0"/>
                <w:sz w:val="32"/>
                <w:szCs w:val="32"/>
                <w:lang w:bidi="ar"/>
              </w:rPr>
              <w:t>9</w:t>
            </w:r>
          </w:p>
        </w:tc>
        <w:tc>
          <w:tcPr>
            <w:tcW w:w="4074" w:type="pct"/>
            <w:tcBorders>
              <w:top w:val="nil"/>
              <w:left w:val="nil"/>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kern w:val="0"/>
                <w:sz w:val="32"/>
                <w:szCs w:val="32"/>
                <w:lang w:bidi="ar"/>
              </w:rPr>
              <w:t>福建同英达律师事务所</w:t>
            </w:r>
          </w:p>
        </w:tc>
      </w:tr>
      <w:tr>
        <w:tblPrEx>
          <w:tblCellMar>
            <w:top w:w="0" w:type="dxa"/>
            <w:left w:w="0" w:type="dxa"/>
            <w:bottom w:w="0" w:type="dxa"/>
            <w:right w:w="0" w:type="dxa"/>
          </w:tblCellMar>
        </w:tblPrEx>
        <w:trPr>
          <w:trHeight w:val="397" w:hRule="atLeast"/>
        </w:trPr>
        <w:tc>
          <w:tcPr>
            <w:tcW w:w="924" w:type="pct"/>
            <w:tcBorders>
              <w:top w:val="nil"/>
              <w:left w:val="single" w:color="333333" w:sz="6" w:space="0"/>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ascii="Times New Roman" w:hAnsi="Times New Roman" w:eastAsia="仿宋" w:cs="仿宋"/>
                <w:color w:val="333333"/>
                <w:kern w:val="0"/>
                <w:sz w:val="32"/>
                <w:szCs w:val="32"/>
                <w:lang w:bidi="ar"/>
              </w:rPr>
              <w:t>10</w:t>
            </w:r>
          </w:p>
        </w:tc>
        <w:tc>
          <w:tcPr>
            <w:tcW w:w="4074" w:type="pct"/>
            <w:tcBorders>
              <w:top w:val="nil"/>
              <w:left w:val="nil"/>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kern w:val="0"/>
                <w:sz w:val="32"/>
                <w:szCs w:val="32"/>
                <w:lang w:bidi="ar"/>
              </w:rPr>
              <w:t>福建天衡联合（龙岩）律师事务所</w:t>
            </w:r>
          </w:p>
        </w:tc>
      </w:tr>
      <w:tr>
        <w:tblPrEx>
          <w:tblCellMar>
            <w:top w:w="0" w:type="dxa"/>
            <w:left w:w="0" w:type="dxa"/>
            <w:bottom w:w="0" w:type="dxa"/>
            <w:right w:w="0" w:type="dxa"/>
          </w:tblCellMar>
        </w:tblPrEx>
        <w:trPr>
          <w:trHeight w:val="397" w:hRule="atLeast"/>
        </w:trPr>
        <w:tc>
          <w:tcPr>
            <w:tcW w:w="924" w:type="pct"/>
            <w:tcBorders>
              <w:top w:val="nil"/>
              <w:left w:val="single" w:color="333333" w:sz="6" w:space="0"/>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ascii="Times New Roman" w:hAnsi="Times New Roman" w:eastAsia="仿宋" w:cs="仿宋"/>
                <w:color w:val="333333"/>
                <w:kern w:val="0"/>
                <w:sz w:val="32"/>
                <w:szCs w:val="32"/>
                <w:lang w:bidi="ar"/>
              </w:rPr>
              <w:t>11</w:t>
            </w:r>
          </w:p>
        </w:tc>
        <w:tc>
          <w:tcPr>
            <w:tcW w:w="4074" w:type="pct"/>
            <w:tcBorders>
              <w:top w:val="nil"/>
              <w:left w:val="nil"/>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kern w:val="0"/>
                <w:sz w:val="32"/>
                <w:szCs w:val="32"/>
                <w:lang w:bidi="ar"/>
              </w:rPr>
              <w:t>福建欧顿律师事务所</w:t>
            </w:r>
          </w:p>
        </w:tc>
      </w:tr>
      <w:tr>
        <w:tblPrEx>
          <w:tblCellMar>
            <w:top w:w="0" w:type="dxa"/>
            <w:left w:w="0" w:type="dxa"/>
            <w:bottom w:w="0" w:type="dxa"/>
            <w:right w:w="0" w:type="dxa"/>
          </w:tblCellMar>
        </w:tblPrEx>
        <w:trPr>
          <w:trHeight w:val="397" w:hRule="atLeast"/>
        </w:trPr>
        <w:tc>
          <w:tcPr>
            <w:tcW w:w="924" w:type="pct"/>
            <w:tcBorders>
              <w:top w:val="nil"/>
              <w:left w:val="single" w:color="333333" w:sz="6" w:space="0"/>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ascii="Times New Roman" w:hAnsi="Times New Roman" w:eastAsia="仿宋" w:cs="仿宋"/>
                <w:color w:val="333333"/>
                <w:kern w:val="0"/>
                <w:sz w:val="32"/>
                <w:szCs w:val="32"/>
                <w:lang w:bidi="ar"/>
              </w:rPr>
              <w:t>12</w:t>
            </w:r>
          </w:p>
        </w:tc>
        <w:tc>
          <w:tcPr>
            <w:tcW w:w="4074" w:type="pct"/>
            <w:tcBorders>
              <w:top w:val="nil"/>
              <w:left w:val="nil"/>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kern w:val="0"/>
                <w:sz w:val="32"/>
                <w:szCs w:val="32"/>
                <w:lang w:bidi="ar"/>
              </w:rPr>
              <w:t>福建天岩律师事务所</w:t>
            </w:r>
          </w:p>
        </w:tc>
      </w:tr>
      <w:tr>
        <w:tblPrEx>
          <w:tblCellMar>
            <w:top w:w="0" w:type="dxa"/>
            <w:left w:w="0" w:type="dxa"/>
            <w:bottom w:w="0" w:type="dxa"/>
            <w:right w:w="0" w:type="dxa"/>
          </w:tblCellMar>
        </w:tblPrEx>
        <w:trPr>
          <w:trHeight w:val="397" w:hRule="atLeast"/>
        </w:trPr>
        <w:tc>
          <w:tcPr>
            <w:tcW w:w="924" w:type="pct"/>
            <w:tcBorders>
              <w:top w:val="nil"/>
              <w:left w:val="single" w:color="333333" w:sz="6" w:space="0"/>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ascii="Times New Roman" w:hAnsi="Times New Roman" w:eastAsia="仿宋" w:cs="仿宋"/>
                <w:color w:val="333333"/>
                <w:kern w:val="0"/>
                <w:sz w:val="32"/>
                <w:szCs w:val="32"/>
                <w:lang w:bidi="ar"/>
              </w:rPr>
              <w:t>13</w:t>
            </w:r>
          </w:p>
        </w:tc>
        <w:tc>
          <w:tcPr>
            <w:tcW w:w="4074" w:type="pct"/>
            <w:tcBorders>
              <w:top w:val="nil"/>
              <w:left w:val="nil"/>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kern w:val="0"/>
                <w:sz w:val="32"/>
                <w:szCs w:val="32"/>
                <w:lang w:bidi="ar"/>
              </w:rPr>
              <w:t>福建路远律师事务所</w:t>
            </w:r>
          </w:p>
        </w:tc>
      </w:tr>
      <w:tr>
        <w:tblPrEx>
          <w:tblCellMar>
            <w:top w:w="0" w:type="dxa"/>
            <w:left w:w="0" w:type="dxa"/>
            <w:bottom w:w="0" w:type="dxa"/>
            <w:right w:w="0" w:type="dxa"/>
          </w:tblCellMar>
        </w:tblPrEx>
        <w:trPr>
          <w:trHeight w:val="397" w:hRule="atLeast"/>
        </w:trPr>
        <w:tc>
          <w:tcPr>
            <w:tcW w:w="924" w:type="pct"/>
            <w:tcBorders>
              <w:top w:val="nil"/>
              <w:left w:val="single" w:color="333333" w:sz="6" w:space="0"/>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ascii="Times New Roman" w:hAnsi="Times New Roman" w:eastAsia="仿宋" w:cs="仿宋"/>
                <w:color w:val="333333"/>
                <w:kern w:val="0"/>
                <w:sz w:val="32"/>
                <w:szCs w:val="32"/>
                <w:lang w:bidi="ar"/>
              </w:rPr>
              <w:t>14</w:t>
            </w:r>
          </w:p>
        </w:tc>
        <w:tc>
          <w:tcPr>
            <w:tcW w:w="4074" w:type="pct"/>
            <w:tcBorders>
              <w:top w:val="nil"/>
              <w:left w:val="nil"/>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kern w:val="0"/>
                <w:sz w:val="32"/>
                <w:szCs w:val="32"/>
                <w:lang w:bidi="ar"/>
              </w:rPr>
              <w:t>福建正廉律师事务所</w:t>
            </w:r>
          </w:p>
        </w:tc>
      </w:tr>
      <w:tr>
        <w:tblPrEx>
          <w:tblCellMar>
            <w:top w:w="0" w:type="dxa"/>
            <w:left w:w="0" w:type="dxa"/>
            <w:bottom w:w="0" w:type="dxa"/>
            <w:right w:w="0" w:type="dxa"/>
          </w:tblCellMar>
        </w:tblPrEx>
        <w:trPr>
          <w:trHeight w:val="397" w:hRule="atLeast"/>
        </w:trPr>
        <w:tc>
          <w:tcPr>
            <w:tcW w:w="924" w:type="pct"/>
            <w:tcBorders>
              <w:top w:val="nil"/>
              <w:left w:val="single" w:color="333333" w:sz="6" w:space="0"/>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ascii="Times New Roman" w:hAnsi="Times New Roman" w:eastAsia="仿宋" w:cs="仿宋"/>
                <w:color w:val="333333"/>
                <w:kern w:val="0"/>
                <w:sz w:val="32"/>
                <w:szCs w:val="32"/>
                <w:lang w:bidi="ar"/>
              </w:rPr>
              <w:t>15</w:t>
            </w:r>
          </w:p>
        </w:tc>
        <w:tc>
          <w:tcPr>
            <w:tcW w:w="4074" w:type="pct"/>
            <w:tcBorders>
              <w:top w:val="nil"/>
              <w:left w:val="nil"/>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kern w:val="0"/>
                <w:sz w:val="32"/>
                <w:szCs w:val="32"/>
                <w:lang w:bidi="ar"/>
              </w:rPr>
              <w:t>福建博益律师事务所</w:t>
            </w:r>
          </w:p>
        </w:tc>
      </w:tr>
      <w:tr>
        <w:tblPrEx>
          <w:tblCellMar>
            <w:top w:w="0" w:type="dxa"/>
            <w:left w:w="0" w:type="dxa"/>
            <w:bottom w:w="0" w:type="dxa"/>
            <w:right w:w="0" w:type="dxa"/>
          </w:tblCellMar>
        </w:tblPrEx>
        <w:trPr>
          <w:trHeight w:val="397" w:hRule="atLeast"/>
        </w:trPr>
        <w:tc>
          <w:tcPr>
            <w:tcW w:w="924" w:type="pct"/>
            <w:tcBorders>
              <w:top w:val="nil"/>
              <w:left w:val="single" w:color="333333" w:sz="6" w:space="0"/>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ascii="Times New Roman" w:hAnsi="Times New Roman" w:eastAsia="仿宋" w:cs="仿宋"/>
                <w:color w:val="333333"/>
                <w:kern w:val="0"/>
                <w:sz w:val="32"/>
                <w:szCs w:val="32"/>
                <w:lang w:bidi="ar"/>
              </w:rPr>
              <w:t>16</w:t>
            </w:r>
          </w:p>
        </w:tc>
        <w:tc>
          <w:tcPr>
            <w:tcW w:w="4074" w:type="pct"/>
            <w:tcBorders>
              <w:top w:val="nil"/>
              <w:left w:val="nil"/>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kern w:val="0"/>
                <w:sz w:val="32"/>
                <w:szCs w:val="32"/>
                <w:lang w:bidi="ar"/>
              </w:rPr>
              <w:t>北京德恒律师事务所</w:t>
            </w:r>
          </w:p>
        </w:tc>
      </w:tr>
      <w:tr>
        <w:tblPrEx>
          <w:tblCellMar>
            <w:top w:w="0" w:type="dxa"/>
            <w:left w:w="0" w:type="dxa"/>
            <w:bottom w:w="0" w:type="dxa"/>
            <w:right w:w="0" w:type="dxa"/>
          </w:tblCellMar>
        </w:tblPrEx>
        <w:trPr>
          <w:trHeight w:val="397" w:hRule="atLeast"/>
        </w:trPr>
        <w:tc>
          <w:tcPr>
            <w:tcW w:w="924" w:type="pct"/>
            <w:tcBorders>
              <w:top w:val="nil"/>
              <w:left w:val="single" w:color="333333" w:sz="6" w:space="0"/>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ascii="Times New Roman" w:hAnsi="Times New Roman" w:eastAsia="仿宋" w:cs="仿宋"/>
                <w:color w:val="333333"/>
                <w:kern w:val="0"/>
                <w:sz w:val="32"/>
                <w:szCs w:val="32"/>
                <w:lang w:bidi="ar"/>
              </w:rPr>
              <w:t>17</w:t>
            </w:r>
          </w:p>
        </w:tc>
        <w:tc>
          <w:tcPr>
            <w:tcW w:w="4074" w:type="pct"/>
            <w:tcBorders>
              <w:top w:val="nil"/>
              <w:left w:val="nil"/>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kern w:val="0"/>
                <w:sz w:val="32"/>
                <w:szCs w:val="32"/>
                <w:lang w:bidi="ar"/>
              </w:rPr>
              <w:t>上海市捷华律师事务所</w:t>
            </w:r>
          </w:p>
        </w:tc>
      </w:tr>
      <w:tr>
        <w:tblPrEx>
          <w:tblCellMar>
            <w:top w:w="0" w:type="dxa"/>
            <w:left w:w="0" w:type="dxa"/>
            <w:bottom w:w="0" w:type="dxa"/>
            <w:right w:w="0" w:type="dxa"/>
          </w:tblCellMar>
        </w:tblPrEx>
        <w:trPr>
          <w:trHeight w:val="397" w:hRule="atLeast"/>
        </w:trPr>
        <w:tc>
          <w:tcPr>
            <w:tcW w:w="924" w:type="pct"/>
            <w:tcBorders>
              <w:top w:val="nil"/>
              <w:left w:val="single" w:color="333333" w:sz="6" w:space="0"/>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ascii="Times New Roman" w:hAnsi="Times New Roman" w:eastAsia="仿宋" w:cs="仿宋"/>
                <w:color w:val="333333"/>
                <w:kern w:val="0"/>
                <w:sz w:val="32"/>
                <w:szCs w:val="32"/>
                <w:lang w:bidi="ar"/>
              </w:rPr>
              <w:t>18</w:t>
            </w:r>
          </w:p>
        </w:tc>
        <w:tc>
          <w:tcPr>
            <w:tcW w:w="4074" w:type="pct"/>
            <w:tcBorders>
              <w:top w:val="nil"/>
              <w:left w:val="nil"/>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kern w:val="0"/>
                <w:sz w:val="32"/>
                <w:szCs w:val="32"/>
                <w:lang w:bidi="ar"/>
              </w:rPr>
              <w:t>福建吉弘律师事务所</w:t>
            </w:r>
          </w:p>
        </w:tc>
      </w:tr>
      <w:tr>
        <w:tblPrEx>
          <w:tblCellMar>
            <w:top w:w="0" w:type="dxa"/>
            <w:left w:w="0" w:type="dxa"/>
            <w:bottom w:w="0" w:type="dxa"/>
            <w:right w:w="0" w:type="dxa"/>
          </w:tblCellMar>
        </w:tblPrEx>
        <w:trPr>
          <w:trHeight w:val="397" w:hRule="atLeast"/>
        </w:trPr>
        <w:tc>
          <w:tcPr>
            <w:tcW w:w="924" w:type="pct"/>
            <w:tcBorders>
              <w:top w:val="nil"/>
              <w:left w:val="single" w:color="333333" w:sz="6" w:space="0"/>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ascii="Times New Roman" w:hAnsi="Times New Roman" w:eastAsia="仿宋" w:cs="仿宋"/>
                <w:color w:val="333333"/>
                <w:kern w:val="0"/>
                <w:sz w:val="32"/>
                <w:szCs w:val="32"/>
                <w:lang w:bidi="ar"/>
              </w:rPr>
              <w:t>19</w:t>
            </w:r>
          </w:p>
        </w:tc>
        <w:tc>
          <w:tcPr>
            <w:tcW w:w="4074" w:type="pct"/>
            <w:tcBorders>
              <w:top w:val="nil"/>
              <w:left w:val="nil"/>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kern w:val="0"/>
                <w:sz w:val="32"/>
                <w:szCs w:val="32"/>
                <w:lang w:bidi="ar"/>
              </w:rPr>
              <w:t>福建同荣仁律师事务所</w:t>
            </w:r>
          </w:p>
        </w:tc>
      </w:tr>
      <w:tr>
        <w:tblPrEx>
          <w:tblCellMar>
            <w:top w:w="0" w:type="dxa"/>
            <w:left w:w="0" w:type="dxa"/>
            <w:bottom w:w="0" w:type="dxa"/>
            <w:right w:w="0" w:type="dxa"/>
          </w:tblCellMar>
        </w:tblPrEx>
        <w:trPr>
          <w:trHeight w:val="397" w:hRule="atLeast"/>
        </w:trPr>
        <w:tc>
          <w:tcPr>
            <w:tcW w:w="924" w:type="pct"/>
            <w:tcBorders>
              <w:top w:val="nil"/>
              <w:left w:val="single" w:color="333333" w:sz="6" w:space="0"/>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ascii="Times New Roman" w:hAnsi="Times New Roman" w:eastAsia="仿宋" w:cs="仿宋"/>
                <w:color w:val="333333"/>
                <w:kern w:val="0"/>
                <w:sz w:val="32"/>
                <w:szCs w:val="32"/>
                <w:lang w:bidi="ar"/>
              </w:rPr>
              <w:t>20</w:t>
            </w:r>
          </w:p>
        </w:tc>
        <w:tc>
          <w:tcPr>
            <w:tcW w:w="4074" w:type="pct"/>
            <w:tcBorders>
              <w:top w:val="nil"/>
              <w:left w:val="nil"/>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kern w:val="0"/>
                <w:sz w:val="32"/>
                <w:szCs w:val="32"/>
                <w:lang w:bidi="ar"/>
              </w:rPr>
              <w:t>福建吴子胜律师事务所</w:t>
            </w:r>
          </w:p>
        </w:tc>
      </w:tr>
      <w:tr>
        <w:tblPrEx>
          <w:tblCellMar>
            <w:top w:w="0" w:type="dxa"/>
            <w:left w:w="0" w:type="dxa"/>
            <w:bottom w:w="0" w:type="dxa"/>
            <w:right w:w="0" w:type="dxa"/>
          </w:tblCellMar>
        </w:tblPrEx>
        <w:trPr>
          <w:trHeight w:val="397" w:hRule="atLeast"/>
        </w:trPr>
        <w:tc>
          <w:tcPr>
            <w:tcW w:w="924" w:type="pct"/>
            <w:tcBorders>
              <w:top w:val="nil"/>
              <w:left w:val="single" w:color="333333" w:sz="6" w:space="0"/>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sz w:val="32"/>
                <w:szCs w:val="32"/>
              </w:rPr>
              <w:t>21</w:t>
            </w:r>
          </w:p>
        </w:tc>
        <w:tc>
          <w:tcPr>
            <w:tcW w:w="4074" w:type="pct"/>
            <w:tcBorders>
              <w:top w:val="nil"/>
              <w:left w:val="nil"/>
              <w:bottom w:val="single" w:color="333333" w:sz="6" w:space="0"/>
              <w:right w:val="single" w:color="333333" w:sz="6" w:space="0"/>
            </w:tcBorders>
            <w:shd w:val="clear" w:color="auto" w:fill="FFFFFF"/>
            <w:tcMar>
              <w:top w:w="30" w:type="dxa"/>
              <w:left w:w="75" w:type="dxa"/>
              <w:bottom w:w="30" w:type="dxa"/>
              <w:right w:w="75" w:type="dxa"/>
            </w:tcMar>
            <w:vAlign w:val="center"/>
          </w:tcPr>
          <w:p>
            <w:pPr>
              <w:widowControl/>
              <w:spacing w:line="360" w:lineRule="exact"/>
              <w:jc w:val="center"/>
              <w:rPr>
                <w:rFonts w:ascii="Times New Roman" w:hAnsi="Times New Roman" w:eastAsia="仿宋" w:cs="仿宋"/>
                <w:color w:val="333333"/>
                <w:sz w:val="32"/>
                <w:szCs w:val="32"/>
              </w:rPr>
            </w:pPr>
            <w:r>
              <w:rPr>
                <w:rFonts w:hint="eastAsia" w:ascii="Times New Roman" w:hAnsi="Times New Roman" w:eastAsia="仿宋" w:cs="仿宋"/>
                <w:color w:val="333333"/>
                <w:sz w:val="32"/>
                <w:szCs w:val="32"/>
              </w:rPr>
              <w:t>福建挺秀律师事务所</w:t>
            </w:r>
          </w:p>
        </w:tc>
      </w:tr>
    </w:tbl>
    <w:p>
      <w:pPr>
        <w:pStyle w:val="7"/>
        <w:spacing w:before="226" w:beforeAutospacing="0" w:afterAutospacing="0"/>
        <w:jc w:val="center"/>
        <w:rPr>
          <w:rFonts w:hint="default" w:ascii="Times New Roman" w:hAnsi="Times New Roman" w:eastAsia="仿宋_GB2312" w:cs="仿宋_GB2312"/>
          <w:sz w:val="32"/>
          <w:szCs w:val="32"/>
        </w:rPr>
      </w:pPr>
    </w:p>
    <w:p/>
    <w:p>
      <w:pPr>
        <w:pStyle w:val="3"/>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汉仪中宋简">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7F"/>
    <w:rsid w:val="00001B4E"/>
    <w:rsid w:val="0000467F"/>
    <w:rsid w:val="000253BC"/>
    <w:rsid w:val="000B5051"/>
    <w:rsid w:val="00135D01"/>
    <w:rsid w:val="00161BF3"/>
    <w:rsid w:val="001F1155"/>
    <w:rsid w:val="00247AA5"/>
    <w:rsid w:val="00284916"/>
    <w:rsid w:val="002C61DB"/>
    <w:rsid w:val="003543A7"/>
    <w:rsid w:val="003E4D51"/>
    <w:rsid w:val="003F68F6"/>
    <w:rsid w:val="0041204B"/>
    <w:rsid w:val="004160AA"/>
    <w:rsid w:val="00540D74"/>
    <w:rsid w:val="005A0D5B"/>
    <w:rsid w:val="005C7F9B"/>
    <w:rsid w:val="005D40D1"/>
    <w:rsid w:val="005F65E9"/>
    <w:rsid w:val="006E683A"/>
    <w:rsid w:val="00707961"/>
    <w:rsid w:val="007B5E28"/>
    <w:rsid w:val="007D4B4A"/>
    <w:rsid w:val="008050F6"/>
    <w:rsid w:val="00840715"/>
    <w:rsid w:val="00895318"/>
    <w:rsid w:val="008F6086"/>
    <w:rsid w:val="009F1A46"/>
    <w:rsid w:val="00AF1AA5"/>
    <w:rsid w:val="00B572DF"/>
    <w:rsid w:val="00B92322"/>
    <w:rsid w:val="00BA01F9"/>
    <w:rsid w:val="00BC1341"/>
    <w:rsid w:val="00BD3012"/>
    <w:rsid w:val="00C02DE6"/>
    <w:rsid w:val="00C04C6A"/>
    <w:rsid w:val="00CD5ECD"/>
    <w:rsid w:val="00CD7A34"/>
    <w:rsid w:val="00D722D8"/>
    <w:rsid w:val="00DF7273"/>
    <w:rsid w:val="00E360CC"/>
    <w:rsid w:val="00EE3422"/>
    <w:rsid w:val="00F14253"/>
    <w:rsid w:val="00F45252"/>
    <w:rsid w:val="00F6479C"/>
    <w:rsid w:val="00F67D7A"/>
    <w:rsid w:val="00FB7913"/>
    <w:rsid w:val="014B409A"/>
    <w:rsid w:val="01A9145D"/>
    <w:rsid w:val="01E76B2B"/>
    <w:rsid w:val="0206660D"/>
    <w:rsid w:val="02224F05"/>
    <w:rsid w:val="02326A25"/>
    <w:rsid w:val="025D19A9"/>
    <w:rsid w:val="02697A90"/>
    <w:rsid w:val="02DA1D00"/>
    <w:rsid w:val="030748E7"/>
    <w:rsid w:val="033D786E"/>
    <w:rsid w:val="038849B3"/>
    <w:rsid w:val="03D513EA"/>
    <w:rsid w:val="0419591F"/>
    <w:rsid w:val="04303988"/>
    <w:rsid w:val="047E4A69"/>
    <w:rsid w:val="04831643"/>
    <w:rsid w:val="04993296"/>
    <w:rsid w:val="0504627D"/>
    <w:rsid w:val="050E27E0"/>
    <w:rsid w:val="05405949"/>
    <w:rsid w:val="059C7930"/>
    <w:rsid w:val="05D13AEC"/>
    <w:rsid w:val="06082A28"/>
    <w:rsid w:val="063409C3"/>
    <w:rsid w:val="0655129D"/>
    <w:rsid w:val="065614D9"/>
    <w:rsid w:val="067A1434"/>
    <w:rsid w:val="06C15F48"/>
    <w:rsid w:val="06DC02BF"/>
    <w:rsid w:val="071E54DB"/>
    <w:rsid w:val="0740746E"/>
    <w:rsid w:val="074471D6"/>
    <w:rsid w:val="079B25B8"/>
    <w:rsid w:val="07C75BC5"/>
    <w:rsid w:val="07E25772"/>
    <w:rsid w:val="088C72FD"/>
    <w:rsid w:val="08C85449"/>
    <w:rsid w:val="08D56998"/>
    <w:rsid w:val="08D808CD"/>
    <w:rsid w:val="091B03EA"/>
    <w:rsid w:val="09434721"/>
    <w:rsid w:val="097F2704"/>
    <w:rsid w:val="0A02323C"/>
    <w:rsid w:val="0A263A27"/>
    <w:rsid w:val="0A44596C"/>
    <w:rsid w:val="0B4965B8"/>
    <w:rsid w:val="0B5101F8"/>
    <w:rsid w:val="0B664091"/>
    <w:rsid w:val="0B873884"/>
    <w:rsid w:val="0BA95EC8"/>
    <w:rsid w:val="0BD50C33"/>
    <w:rsid w:val="0C30600D"/>
    <w:rsid w:val="0CA073F8"/>
    <w:rsid w:val="0D2D55FD"/>
    <w:rsid w:val="0D382831"/>
    <w:rsid w:val="0D426EF0"/>
    <w:rsid w:val="0DD34AFE"/>
    <w:rsid w:val="0E3C4C43"/>
    <w:rsid w:val="0E811A14"/>
    <w:rsid w:val="0E895526"/>
    <w:rsid w:val="0EB62C4E"/>
    <w:rsid w:val="0EEA44A5"/>
    <w:rsid w:val="0F181E74"/>
    <w:rsid w:val="0F9A2A1D"/>
    <w:rsid w:val="0FF7524A"/>
    <w:rsid w:val="101A71A2"/>
    <w:rsid w:val="10597707"/>
    <w:rsid w:val="106723F9"/>
    <w:rsid w:val="1090281A"/>
    <w:rsid w:val="10FC0EC9"/>
    <w:rsid w:val="11185888"/>
    <w:rsid w:val="11863BDD"/>
    <w:rsid w:val="11B41B4B"/>
    <w:rsid w:val="121F6BBB"/>
    <w:rsid w:val="128533A4"/>
    <w:rsid w:val="12B24659"/>
    <w:rsid w:val="13722739"/>
    <w:rsid w:val="137E1F3B"/>
    <w:rsid w:val="13975166"/>
    <w:rsid w:val="142D0038"/>
    <w:rsid w:val="14BB3DA5"/>
    <w:rsid w:val="14BF4CA9"/>
    <w:rsid w:val="14EE243C"/>
    <w:rsid w:val="15023D85"/>
    <w:rsid w:val="15480120"/>
    <w:rsid w:val="158352FE"/>
    <w:rsid w:val="15BF3464"/>
    <w:rsid w:val="1629347A"/>
    <w:rsid w:val="1643412A"/>
    <w:rsid w:val="166C7071"/>
    <w:rsid w:val="16765E8E"/>
    <w:rsid w:val="16F83137"/>
    <w:rsid w:val="17476221"/>
    <w:rsid w:val="17780A79"/>
    <w:rsid w:val="1778293C"/>
    <w:rsid w:val="177C6399"/>
    <w:rsid w:val="17997FC3"/>
    <w:rsid w:val="17D42138"/>
    <w:rsid w:val="18343BC8"/>
    <w:rsid w:val="188979D6"/>
    <w:rsid w:val="18B30137"/>
    <w:rsid w:val="18B5010A"/>
    <w:rsid w:val="191D740E"/>
    <w:rsid w:val="19407BAE"/>
    <w:rsid w:val="19536A14"/>
    <w:rsid w:val="19885B3E"/>
    <w:rsid w:val="19C84600"/>
    <w:rsid w:val="19D57CF2"/>
    <w:rsid w:val="1A2A71CC"/>
    <w:rsid w:val="1ACC350D"/>
    <w:rsid w:val="1B2720EA"/>
    <w:rsid w:val="1B2C1F62"/>
    <w:rsid w:val="1B461FC1"/>
    <w:rsid w:val="1B805BFA"/>
    <w:rsid w:val="1BCE75AD"/>
    <w:rsid w:val="1C4F39BC"/>
    <w:rsid w:val="1CB07AE0"/>
    <w:rsid w:val="1CB365F9"/>
    <w:rsid w:val="1CB474AD"/>
    <w:rsid w:val="1CB937F3"/>
    <w:rsid w:val="1CD730AD"/>
    <w:rsid w:val="1D963B22"/>
    <w:rsid w:val="1DAB327A"/>
    <w:rsid w:val="1E55432C"/>
    <w:rsid w:val="1EA60920"/>
    <w:rsid w:val="1EEB4F55"/>
    <w:rsid w:val="1F0B7F49"/>
    <w:rsid w:val="1F2B70D1"/>
    <w:rsid w:val="200C6626"/>
    <w:rsid w:val="207851F5"/>
    <w:rsid w:val="208E4FE4"/>
    <w:rsid w:val="213F3BAA"/>
    <w:rsid w:val="21D668AA"/>
    <w:rsid w:val="220D5389"/>
    <w:rsid w:val="222B753C"/>
    <w:rsid w:val="22511281"/>
    <w:rsid w:val="22912288"/>
    <w:rsid w:val="2295745C"/>
    <w:rsid w:val="22A23D8A"/>
    <w:rsid w:val="22E4099F"/>
    <w:rsid w:val="22E530BA"/>
    <w:rsid w:val="2325767E"/>
    <w:rsid w:val="240E7C73"/>
    <w:rsid w:val="248E3A8F"/>
    <w:rsid w:val="249520DA"/>
    <w:rsid w:val="249800FE"/>
    <w:rsid w:val="24A842BD"/>
    <w:rsid w:val="24AA07CA"/>
    <w:rsid w:val="24E56F56"/>
    <w:rsid w:val="24FA657A"/>
    <w:rsid w:val="257257F0"/>
    <w:rsid w:val="257639B1"/>
    <w:rsid w:val="25924044"/>
    <w:rsid w:val="25C334DE"/>
    <w:rsid w:val="25C9023F"/>
    <w:rsid w:val="25EC21C8"/>
    <w:rsid w:val="2643000C"/>
    <w:rsid w:val="26472551"/>
    <w:rsid w:val="265833CB"/>
    <w:rsid w:val="26D26B7F"/>
    <w:rsid w:val="27C71187"/>
    <w:rsid w:val="285B0B0C"/>
    <w:rsid w:val="28BF5D96"/>
    <w:rsid w:val="28CA6645"/>
    <w:rsid w:val="28E754D0"/>
    <w:rsid w:val="28F072E8"/>
    <w:rsid w:val="28FE050E"/>
    <w:rsid w:val="29187433"/>
    <w:rsid w:val="292772AE"/>
    <w:rsid w:val="29433ED6"/>
    <w:rsid w:val="29DE0F99"/>
    <w:rsid w:val="2A745A70"/>
    <w:rsid w:val="2A876ADA"/>
    <w:rsid w:val="2AC14359"/>
    <w:rsid w:val="2B7F5830"/>
    <w:rsid w:val="2B8C33BA"/>
    <w:rsid w:val="2BB82B76"/>
    <w:rsid w:val="2C47318A"/>
    <w:rsid w:val="2CD14001"/>
    <w:rsid w:val="2CE02370"/>
    <w:rsid w:val="2CE34023"/>
    <w:rsid w:val="2D3A01BC"/>
    <w:rsid w:val="2D480D1E"/>
    <w:rsid w:val="2D7D4D72"/>
    <w:rsid w:val="2DB6528D"/>
    <w:rsid w:val="2DBC41AE"/>
    <w:rsid w:val="2DED67C2"/>
    <w:rsid w:val="2E3B651B"/>
    <w:rsid w:val="2E3F1D9C"/>
    <w:rsid w:val="2E6571DB"/>
    <w:rsid w:val="2E66028C"/>
    <w:rsid w:val="2F004DE4"/>
    <w:rsid w:val="2F064B4D"/>
    <w:rsid w:val="2F984E80"/>
    <w:rsid w:val="2FF123D3"/>
    <w:rsid w:val="300F1407"/>
    <w:rsid w:val="30876365"/>
    <w:rsid w:val="308979E6"/>
    <w:rsid w:val="308B57FB"/>
    <w:rsid w:val="30903A4D"/>
    <w:rsid w:val="309E7AD8"/>
    <w:rsid w:val="30A73BDB"/>
    <w:rsid w:val="314C2DF1"/>
    <w:rsid w:val="31AD274C"/>
    <w:rsid w:val="31B92CE1"/>
    <w:rsid w:val="32126F2B"/>
    <w:rsid w:val="32312DE7"/>
    <w:rsid w:val="32635639"/>
    <w:rsid w:val="32731153"/>
    <w:rsid w:val="32BD286E"/>
    <w:rsid w:val="32DB2D2B"/>
    <w:rsid w:val="3330611D"/>
    <w:rsid w:val="333847F3"/>
    <w:rsid w:val="334C45C9"/>
    <w:rsid w:val="341F6323"/>
    <w:rsid w:val="34205205"/>
    <w:rsid w:val="34573C33"/>
    <w:rsid w:val="34623A25"/>
    <w:rsid w:val="34882269"/>
    <w:rsid w:val="34A43BE6"/>
    <w:rsid w:val="35165C7F"/>
    <w:rsid w:val="351C3704"/>
    <w:rsid w:val="353542F8"/>
    <w:rsid w:val="35895B98"/>
    <w:rsid w:val="35EF5D5E"/>
    <w:rsid w:val="35F30E39"/>
    <w:rsid w:val="35FA1B5B"/>
    <w:rsid w:val="36030700"/>
    <w:rsid w:val="365F7CE3"/>
    <w:rsid w:val="368B0C6A"/>
    <w:rsid w:val="36930656"/>
    <w:rsid w:val="36A01F5C"/>
    <w:rsid w:val="37A36813"/>
    <w:rsid w:val="37CF2897"/>
    <w:rsid w:val="38044576"/>
    <w:rsid w:val="3838011E"/>
    <w:rsid w:val="38724F60"/>
    <w:rsid w:val="389B0915"/>
    <w:rsid w:val="38A35115"/>
    <w:rsid w:val="38C61DC9"/>
    <w:rsid w:val="38F54D6B"/>
    <w:rsid w:val="39031824"/>
    <w:rsid w:val="39165FDE"/>
    <w:rsid w:val="39FB380C"/>
    <w:rsid w:val="3AF56C6E"/>
    <w:rsid w:val="3B2A2551"/>
    <w:rsid w:val="3B3D2FDA"/>
    <w:rsid w:val="3B9E1028"/>
    <w:rsid w:val="3C2C5226"/>
    <w:rsid w:val="3C6C1D22"/>
    <w:rsid w:val="3D2E6C35"/>
    <w:rsid w:val="3D6F36C6"/>
    <w:rsid w:val="3D7B5AB3"/>
    <w:rsid w:val="3DE46D93"/>
    <w:rsid w:val="3E0C5733"/>
    <w:rsid w:val="3E7037A5"/>
    <w:rsid w:val="3E825DD3"/>
    <w:rsid w:val="3EC16FCF"/>
    <w:rsid w:val="3F221184"/>
    <w:rsid w:val="3F446ACB"/>
    <w:rsid w:val="3FB759AA"/>
    <w:rsid w:val="3FE32581"/>
    <w:rsid w:val="4071042E"/>
    <w:rsid w:val="40952B4C"/>
    <w:rsid w:val="40DF40E5"/>
    <w:rsid w:val="418E2028"/>
    <w:rsid w:val="423161A0"/>
    <w:rsid w:val="425A502F"/>
    <w:rsid w:val="42B4687E"/>
    <w:rsid w:val="4322433F"/>
    <w:rsid w:val="43743CA1"/>
    <w:rsid w:val="43851663"/>
    <w:rsid w:val="43EC7462"/>
    <w:rsid w:val="44364179"/>
    <w:rsid w:val="44393B49"/>
    <w:rsid w:val="44783AA9"/>
    <w:rsid w:val="44824811"/>
    <w:rsid w:val="44946826"/>
    <w:rsid w:val="44E1763B"/>
    <w:rsid w:val="44E5751B"/>
    <w:rsid w:val="44F02F6E"/>
    <w:rsid w:val="451D1F38"/>
    <w:rsid w:val="453D251A"/>
    <w:rsid w:val="457050BA"/>
    <w:rsid w:val="457D43FB"/>
    <w:rsid w:val="45F85C81"/>
    <w:rsid w:val="463900A5"/>
    <w:rsid w:val="46854D9F"/>
    <w:rsid w:val="46C31F8B"/>
    <w:rsid w:val="47040A68"/>
    <w:rsid w:val="47226A8C"/>
    <w:rsid w:val="47E81241"/>
    <w:rsid w:val="481A70AE"/>
    <w:rsid w:val="48B64529"/>
    <w:rsid w:val="48EA2717"/>
    <w:rsid w:val="4911485E"/>
    <w:rsid w:val="49116CD8"/>
    <w:rsid w:val="492E093B"/>
    <w:rsid w:val="49500F3A"/>
    <w:rsid w:val="495F31A7"/>
    <w:rsid w:val="49AC169A"/>
    <w:rsid w:val="49E90C34"/>
    <w:rsid w:val="49F07494"/>
    <w:rsid w:val="4A7D6B6A"/>
    <w:rsid w:val="4A8724C5"/>
    <w:rsid w:val="4AC03045"/>
    <w:rsid w:val="4B015139"/>
    <w:rsid w:val="4B671E4F"/>
    <w:rsid w:val="4B7A783A"/>
    <w:rsid w:val="4BBD0C68"/>
    <w:rsid w:val="4BE94441"/>
    <w:rsid w:val="4BFF40E2"/>
    <w:rsid w:val="4C0C4F97"/>
    <w:rsid w:val="4C1D62B9"/>
    <w:rsid w:val="4C26753E"/>
    <w:rsid w:val="4C656480"/>
    <w:rsid w:val="4C6D2299"/>
    <w:rsid w:val="4C7C3F03"/>
    <w:rsid w:val="4C8F6597"/>
    <w:rsid w:val="4CC3673A"/>
    <w:rsid w:val="4CFE78BB"/>
    <w:rsid w:val="4D18445C"/>
    <w:rsid w:val="4D2007B0"/>
    <w:rsid w:val="4D8274F9"/>
    <w:rsid w:val="4E260401"/>
    <w:rsid w:val="4EBE28C6"/>
    <w:rsid w:val="4F3C6584"/>
    <w:rsid w:val="4F6B12EA"/>
    <w:rsid w:val="4F893566"/>
    <w:rsid w:val="4FA3791F"/>
    <w:rsid w:val="500B3148"/>
    <w:rsid w:val="50145A34"/>
    <w:rsid w:val="50870C2A"/>
    <w:rsid w:val="50A76CCB"/>
    <w:rsid w:val="50D21DDF"/>
    <w:rsid w:val="51065CFD"/>
    <w:rsid w:val="510839F9"/>
    <w:rsid w:val="51245E28"/>
    <w:rsid w:val="51435E30"/>
    <w:rsid w:val="5156492E"/>
    <w:rsid w:val="527D6516"/>
    <w:rsid w:val="52FB2303"/>
    <w:rsid w:val="530F4F75"/>
    <w:rsid w:val="53270AB2"/>
    <w:rsid w:val="533D37FB"/>
    <w:rsid w:val="540B7CA0"/>
    <w:rsid w:val="541927B1"/>
    <w:rsid w:val="543C388E"/>
    <w:rsid w:val="544F3744"/>
    <w:rsid w:val="545E776C"/>
    <w:rsid w:val="549069C5"/>
    <w:rsid w:val="5493011B"/>
    <w:rsid w:val="54E52C0B"/>
    <w:rsid w:val="55783CAB"/>
    <w:rsid w:val="55C531E3"/>
    <w:rsid w:val="560C142B"/>
    <w:rsid w:val="56B12F02"/>
    <w:rsid w:val="56B46406"/>
    <w:rsid w:val="56DC1420"/>
    <w:rsid w:val="5716685F"/>
    <w:rsid w:val="57A4656C"/>
    <w:rsid w:val="57BA4354"/>
    <w:rsid w:val="58396C8F"/>
    <w:rsid w:val="58401B6D"/>
    <w:rsid w:val="5840206C"/>
    <w:rsid w:val="587B7026"/>
    <w:rsid w:val="588E5FF9"/>
    <w:rsid w:val="58D11971"/>
    <w:rsid w:val="58D46A61"/>
    <w:rsid w:val="59512C6F"/>
    <w:rsid w:val="59544352"/>
    <w:rsid w:val="595F43AF"/>
    <w:rsid w:val="59A8680D"/>
    <w:rsid w:val="5A850CAD"/>
    <w:rsid w:val="5A8A1AB3"/>
    <w:rsid w:val="5AEF1454"/>
    <w:rsid w:val="5B385294"/>
    <w:rsid w:val="5B93191C"/>
    <w:rsid w:val="5C0E33AB"/>
    <w:rsid w:val="5C1D4B0C"/>
    <w:rsid w:val="5C632AB7"/>
    <w:rsid w:val="5C887BF1"/>
    <w:rsid w:val="5CA3012C"/>
    <w:rsid w:val="5CAA61AD"/>
    <w:rsid w:val="5CAC1D69"/>
    <w:rsid w:val="5CAF74D2"/>
    <w:rsid w:val="5CB92288"/>
    <w:rsid w:val="5D943058"/>
    <w:rsid w:val="5D9A656F"/>
    <w:rsid w:val="5DF97242"/>
    <w:rsid w:val="5E1922A9"/>
    <w:rsid w:val="5E1C2369"/>
    <w:rsid w:val="5E2B0058"/>
    <w:rsid w:val="5E793544"/>
    <w:rsid w:val="5E966772"/>
    <w:rsid w:val="5E9E346F"/>
    <w:rsid w:val="5ED21EA5"/>
    <w:rsid w:val="5EDC6BF8"/>
    <w:rsid w:val="5EF75AAC"/>
    <w:rsid w:val="5F007AC0"/>
    <w:rsid w:val="5F6E62A8"/>
    <w:rsid w:val="5F81007C"/>
    <w:rsid w:val="5F9F6818"/>
    <w:rsid w:val="600566FF"/>
    <w:rsid w:val="6013287F"/>
    <w:rsid w:val="60224F95"/>
    <w:rsid w:val="603C21D7"/>
    <w:rsid w:val="603C3EFF"/>
    <w:rsid w:val="607D77A9"/>
    <w:rsid w:val="60D95FDE"/>
    <w:rsid w:val="60FB3D9A"/>
    <w:rsid w:val="612B359E"/>
    <w:rsid w:val="622304AE"/>
    <w:rsid w:val="623C09CB"/>
    <w:rsid w:val="631B09D7"/>
    <w:rsid w:val="63BE2B8A"/>
    <w:rsid w:val="63D236A5"/>
    <w:rsid w:val="641279B0"/>
    <w:rsid w:val="644412FE"/>
    <w:rsid w:val="64584C05"/>
    <w:rsid w:val="64B63E02"/>
    <w:rsid w:val="64BD0DFE"/>
    <w:rsid w:val="64BF62F3"/>
    <w:rsid w:val="64F74C46"/>
    <w:rsid w:val="65784E2F"/>
    <w:rsid w:val="65A926D5"/>
    <w:rsid w:val="65AE6B2B"/>
    <w:rsid w:val="65C14E1E"/>
    <w:rsid w:val="66170257"/>
    <w:rsid w:val="663C479C"/>
    <w:rsid w:val="66FC60D2"/>
    <w:rsid w:val="67421DEB"/>
    <w:rsid w:val="675A6BD6"/>
    <w:rsid w:val="675E0E95"/>
    <w:rsid w:val="677D4B41"/>
    <w:rsid w:val="67AE02A3"/>
    <w:rsid w:val="67B020BF"/>
    <w:rsid w:val="67CB7964"/>
    <w:rsid w:val="682F20FE"/>
    <w:rsid w:val="683348FF"/>
    <w:rsid w:val="68FC0A74"/>
    <w:rsid w:val="69970923"/>
    <w:rsid w:val="6A071114"/>
    <w:rsid w:val="6A1158F9"/>
    <w:rsid w:val="6A11640B"/>
    <w:rsid w:val="6A124AF7"/>
    <w:rsid w:val="6A5A6D15"/>
    <w:rsid w:val="6AE40EFF"/>
    <w:rsid w:val="6B1B22EE"/>
    <w:rsid w:val="6B4662D5"/>
    <w:rsid w:val="6B893FFD"/>
    <w:rsid w:val="6BBA42A6"/>
    <w:rsid w:val="6BBC65D5"/>
    <w:rsid w:val="6C1F6B96"/>
    <w:rsid w:val="6C2D4BE6"/>
    <w:rsid w:val="6C58232C"/>
    <w:rsid w:val="6C9857A0"/>
    <w:rsid w:val="6D8D0624"/>
    <w:rsid w:val="6E093E40"/>
    <w:rsid w:val="6E3C77E3"/>
    <w:rsid w:val="6E4948FD"/>
    <w:rsid w:val="6E5E18A3"/>
    <w:rsid w:val="6E9175DD"/>
    <w:rsid w:val="6ECD4A9E"/>
    <w:rsid w:val="6ED07E58"/>
    <w:rsid w:val="6EE779BF"/>
    <w:rsid w:val="6F21516D"/>
    <w:rsid w:val="6F882505"/>
    <w:rsid w:val="6F945F6E"/>
    <w:rsid w:val="70130970"/>
    <w:rsid w:val="704A5CC0"/>
    <w:rsid w:val="705428E1"/>
    <w:rsid w:val="709477C1"/>
    <w:rsid w:val="709B61D3"/>
    <w:rsid w:val="70A96BE1"/>
    <w:rsid w:val="70CE445D"/>
    <w:rsid w:val="70FF21C9"/>
    <w:rsid w:val="714D16F8"/>
    <w:rsid w:val="721802ED"/>
    <w:rsid w:val="7244479B"/>
    <w:rsid w:val="7284783A"/>
    <w:rsid w:val="72C516AE"/>
    <w:rsid w:val="72D90760"/>
    <w:rsid w:val="73956AF2"/>
    <w:rsid w:val="73B5736D"/>
    <w:rsid w:val="73E159F9"/>
    <w:rsid w:val="73FA0B53"/>
    <w:rsid w:val="753116FB"/>
    <w:rsid w:val="75992E00"/>
    <w:rsid w:val="75E271E4"/>
    <w:rsid w:val="75EC56EB"/>
    <w:rsid w:val="76B82960"/>
    <w:rsid w:val="76FA226C"/>
    <w:rsid w:val="77010172"/>
    <w:rsid w:val="772E0375"/>
    <w:rsid w:val="77301DAB"/>
    <w:rsid w:val="782870A8"/>
    <w:rsid w:val="7859173F"/>
    <w:rsid w:val="786C2298"/>
    <w:rsid w:val="78D32E53"/>
    <w:rsid w:val="79014A5B"/>
    <w:rsid w:val="7922460A"/>
    <w:rsid w:val="797D305D"/>
    <w:rsid w:val="7A40681E"/>
    <w:rsid w:val="7A4246A9"/>
    <w:rsid w:val="7A60307B"/>
    <w:rsid w:val="7AA234FE"/>
    <w:rsid w:val="7B6D12A7"/>
    <w:rsid w:val="7BAC6A1F"/>
    <w:rsid w:val="7BCD4D64"/>
    <w:rsid w:val="7BF85537"/>
    <w:rsid w:val="7C226FB1"/>
    <w:rsid w:val="7C521C41"/>
    <w:rsid w:val="7CBC0AF4"/>
    <w:rsid w:val="7D0D45FF"/>
    <w:rsid w:val="7D533B3A"/>
    <w:rsid w:val="7DEF45CC"/>
    <w:rsid w:val="7DFF30B9"/>
    <w:rsid w:val="7E9C49CA"/>
    <w:rsid w:val="7ECE3AF3"/>
    <w:rsid w:val="7ED96C2B"/>
    <w:rsid w:val="7EF632F8"/>
    <w:rsid w:val="7EFC4028"/>
    <w:rsid w:val="7F590499"/>
    <w:rsid w:val="7F806B79"/>
    <w:rsid w:val="7F844BC5"/>
    <w:rsid w:val="7F920B71"/>
    <w:rsid w:val="7F97184D"/>
    <w:rsid w:val="7FBE2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next w:val="3"/>
    <w:link w:val="11"/>
    <w:qFormat/>
    <w:uiPriority w:val="0"/>
    <w:rPr>
      <w:sz w:val="18"/>
      <w:szCs w:val="18"/>
    </w:rPr>
  </w:style>
  <w:style w:type="paragraph" w:styleId="3">
    <w:name w:val="endnote text"/>
    <w:basedOn w:val="1"/>
    <w:link w:val="10"/>
    <w:qFormat/>
    <w:uiPriority w:val="0"/>
    <w:pPr>
      <w:snapToGrid w:val="0"/>
      <w:jc w:val="left"/>
    </w:pPr>
  </w:style>
  <w:style w:type="paragraph" w:styleId="4">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Autospacing="1" w:afterAutospacing="1"/>
      <w:jc w:val="left"/>
    </w:pPr>
    <w:rPr>
      <w:rFonts w:hint="eastAsia" w:ascii="宋体" w:hAnsi="宋体"/>
      <w:kern w:val="0"/>
      <w:sz w:val="24"/>
    </w:rPr>
  </w:style>
  <w:style w:type="character" w:customStyle="1" w:styleId="10">
    <w:name w:val="尾注文本 字符"/>
    <w:basedOn w:val="9"/>
    <w:link w:val="3"/>
    <w:qFormat/>
    <w:uiPriority w:val="0"/>
    <w:rPr>
      <w:rFonts w:hint="default" w:ascii="Calibri" w:hAnsi="Calibri" w:eastAsia="宋体" w:cs="Times New Roman"/>
      <w:kern w:val="2"/>
      <w:sz w:val="21"/>
      <w:szCs w:val="24"/>
    </w:rPr>
  </w:style>
  <w:style w:type="character" w:customStyle="1" w:styleId="11">
    <w:name w:val="批注框文本 字符"/>
    <w:basedOn w:val="9"/>
    <w:link w:val="2"/>
    <w:qFormat/>
    <w:uiPriority w:val="0"/>
    <w:rPr>
      <w:rFonts w:hint="default"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1047</Words>
  <Characters>5970</Characters>
  <Lines>49</Lines>
  <Paragraphs>14</Paragraphs>
  <TotalTime>210</TotalTime>
  <ScaleCrop>false</ScaleCrop>
  <LinksUpToDate>false</LinksUpToDate>
  <CharactersWithSpaces>7003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2022-04-21T08:54:00Z</dcterms:created>
  <dc:creator>huawei</dc:creator>
  <cp:lastModifiedBy>娜娜</cp:lastModifiedBy>
  <dcterms:modified xsi:type="dcterms:W3CDTF">2022-05-10T00:58:16Z</dcterms:modified>
  <cp:revision>467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