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sz w:val="44"/>
          <w:szCs w:val="44"/>
        </w:rPr>
      </w:pPr>
    </w:p>
    <w:p>
      <w:pPr>
        <w:ind w:firstLine="880"/>
        <w:rPr>
          <w:sz w:val="44"/>
          <w:szCs w:val="44"/>
        </w:rPr>
      </w:pPr>
    </w:p>
    <w:p>
      <w:pPr>
        <w:ind w:firstLine="880"/>
        <w:rPr>
          <w:sz w:val="44"/>
          <w:szCs w:val="44"/>
        </w:rPr>
      </w:pPr>
    </w:p>
    <w:p>
      <w:pPr>
        <w:ind w:firstLine="1364"/>
        <w:jc w:val="center"/>
        <w:rPr>
          <w:rFonts w:ascii="黑体" w:eastAsia="黑体"/>
          <w:b/>
          <w:bCs/>
          <w:spacing w:val="80"/>
          <w:sz w:val="52"/>
          <w:szCs w:val="52"/>
        </w:rPr>
      </w:pPr>
      <w:r>
        <w:rPr>
          <w:rFonts w:hint="eastAsia" w:ascii="黑体" w:eastAsia="黑体"/>
          <w:b/>
          <w:bCs/>
          <w:spacing w:val="80"/>
          <w:sz w:val="52"/>
          <w:szCs w:val="52"/>
        </w:rPr>
        <w:t>公开挂牌竞价转让文件</w:t>
      </w:r>
    </w:p>
    <w:p>
      <w:pPr>
        <w:ind w:firstLine="880"/>
        <w:rPr>
          <w:sz w:val="44"/>
          <w:szCs w:val="44"/>
          <w:u w:val="single"/>
        </w:rPr>
      </w:pPr>
      <w:r>
        <w:rPr>
          <w:rFonts w:hint="eastAsia"/>
          <w:sz w:val="44"/>
          <w:szCs w:val="44"/>
          <w:u w:val="single"/>
        </w:rPr>
        <w:t xml:space="preserve">                                      </w:t>
      </w:r>
    </w:p>
    <w:p>
      <w:pPr>
        <w:jc w:val="center"/>
        <w:rPr>
          <w:rFonts w:ascii="宋体" w:hAnsi="宋体"/>
          <w:b/>
          <w:color w:val="000000" w:themeColor="text1"/>
          <w:sz w:val="24"/>
          <w14:textFill>
            <w14:solidFill>
              <w14:schemeClr w14:val="tx1"/>
            </w14:solidFill>
          </w14:textFill>
        </w:rPr>
      </w:pPr>
      <w:r>
        <w:rPr>
          <w:rFonts w:hint="eastAsia" w:ascii="宋体" w:hAnsi="宋体"/>
          <w:b/>
          <w:bCs/>
          <w:sz w:val="24"/>
        </w:rPr>
        <w:t>（项目编号：ZR20</w:t>
      </w:r>
      <w:r>
        <w:rPr>
          <w:rFonts w:hint="eastAsia" w:ascii="宋体" w:hAnsi="宋体"/>
          <w:b/>
          <w:bCs/>
          <w:color w:val="000000" w:themeColor="text1"/>
          <w:sz w:val="24"/>
          <w14:textFill>
            <w14:solidFill>
              <w14:schemeClr w14:val="tx1"/>
            </w14:solidFill>
          </w14:textFill>
        </w:rPr>
        <w:t>2</w:t>
      </w:r>
      <w:r>
        <w:rPr>
          <w:rFonts w:hint="eastAsia" w:ascii="宋体" w:hAnsi="宋体"/>
          <w:b/>
          <w:bCs/>
          <w:color w:val="000000" w:themeColor="text1"/>
          <w:sz w:val="24"/>
          <w:lang w:val="en-US" w:eastAsia="zh-CN"/>
          <w14:textFill>
            <w14:solidFill>
              <w14:schemeClr w14:val="tx1"/>
            </w14:solidFill>
          </w14:textFill>
        </w:rPr>
        <w:t>3-32-1</w:t>
      </w:r>
      <w:r>
        <w:rPr>
          <w:rFonts w:hint="eastAsia" w:ascii="宋体" w:hAnsi="宋体"/>
          <w:b/>
          <w:bCs/>
          <w:color w:val="000000" w:themeColor="text1"/>
          <w:sz w:val="24"/>
          <w14:textFill>
            <w14:solidFill>
              <w14:schemeClr w14:val="tx1"/>
            </w14:solidFill>
          </w14:textFill>
        </w:rPr>
        <w:t>）</w:t>
      </w:r>
    </w:p>
    <w:p>
      <w:pPr>
        <w:ind w:firstLine="880"/>
        <w:jc w:val="center"/>
        <w:rPr>
          <w:color w:val="000000" w:themeColor="text1"/>
          <w:sz w:val="44"/>
          <w:szCs w:val="44"/>
          <w14:textFill>
            <w14:solidFill>
              <w14:schemeClr w14:val="tx1"/>
            </w14:solidFill>
          </w14:textFill>
        </w:rPr>
      </w:pPr>
    </w:p>
    <w:p>
      <w:pPr>
        <w:ind w:firstLine="600"/>
        <w:jc w:val="center"/>
        <w:rPr>
          <w:sz w:val="30"/>
          <w:szCs w:val="30"/>
        </w:rPr>
      </w:pPr>
    </w:p>
    <w:p>
      <w:pPr>
        <w:spacing w:line="360" w:lineRule="exact"/>
        <w:ind w:left="2458" w:leftChars="599" w:hanging="1200" w:hangingChars="500"/>
        <w:rPr>
          <w:rFonts w:asciiTheme="minorEastAsia" w:hAnsiTheme="minorEastAsia" w:eastAsiaTheme="minorEastAsia"/>
          <w:sz w:val="24"/>
        </w:rPr>
      </w:pPr>
      <w:r>
        <w:rPr>
          <w:rFonts w:hint="eastAsia" w:asciiTheme="minorEastAsia" w:hAnsiTheme="minorEastAsia" w:eastAsiaTheme="minorEastAsia"/>
          <w:sz w:val="24"/>
        </w:rPr>
        <w:t>转让标的：</w:t>
      </w:r>
      <w:r>
        <w:rPr>
          <w:rFonts w:hint="eastAsia"/>
          <w:sz w:val="24"/>
          <w:szCs w:val="24"/>
          <w:u w:val="none"/>
          <w:lang w:val="en-US" w:eastAsia="zh-CN"/>
        </w:rPr>
        <w:t>福建美嘉龙建材有限公司5</w:t>
      </w:r>
      <w:r>
        <w:rPr>
          <w:rFonts w:hint="eastAsia" w:ascii="宋体" w:hAnsi="宋体" w:eastAsia="宋体" w:cs="宋体"/>
          <w:sz w:val="24"/>
          <w:szCs w:val="24"/>
        </w:rPr>
        <w:t>%</w:t>
      </w:r>
      <w:r>
        <w:rPr>
          <w:rFonts w:hint="eastAsia"/>
          <w:sz w:val="24"/>
          <w:szCs w:val="24"/>
          <w:u w:val="none"/>
          <w:lang w:val="en-US" w:eastAsia="zh-CN"/>
        </w:rPr>
        <w:t>股权</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sz w:val="24"/>
        </w:rPr>
        <w:t>报名截止时间：</w:t>
      </w: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3</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23</w:t>
      </w:r>
      <w:r>
        <w:rPr>
          <w:rFonts w:hint="eastAsia" w:asciiTheme="minorEastAsia" w:hAnsiTheme="minorEastAsia" w:eastAsiaTheme="minorEastAsia"/>
          <w:color w:val="auto"/>
          <w:sz w:val="24"/>
        </w:rPr>
        <w:t>日17：00</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color w:val="auto"/>
          <w:sz w:val="24"/>
        </w:rPr>
        <w:t>竞价时间：202</w:t>
      </w:r>
      <w:r>
        <w:rPr>
          <w:rFonts w:hint="eastAsia" w:asciiTheme="minorEastAsia" w:hAnsiTheme="minorEastAsia" w:eastAsiaTheme="minorEastAsia"/>
          <w:color w:val="auto"/>
          <w:sz w:val="24"/>
          <w:lang w:val="en-US" w:eastAsia="zh-CN"/>
        </w:rPr>
        <w:t>4</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24</w:t>
      </w:r>
      <w:r>
        <w:rPr>
          <w:rFonts w:hint="eastAsia" w:asciiTheme="minorEastAsia" w:hAnsiTheme="minorEastAsia" w:eastAsiaTheme="minorEastAsia"/>
          <w:color w:val="auto"/>
          <w:sz w:val="24"/>
        </w:rPr>
        <w:t>日</w:t>
      </w:r>
    </w:p>
    <w:p>
      <w:pPr>
        <w:spacing w:line="360" w:lineRule="exact"/>
        <w:ind w:firstLine="1260" w:firstLineChars="525"/>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竞价地点：</w:t>
      </w:r>
      <w:r>
        <w:rPr>
          <w:rFonts w:hint="eastAsia" w:asciiTheme="minorEastAsia" w:hAnsiTheme="minorEastAsia" w:eastAsiaTheme="minorEastAsia"/>
          <w:color w:val="000000" w:themeColor="text1"/>
          <w:sz w:val="24"/>
          <w:shd w:val="clear" w:color="auto" w:fill="FFFFFF"/>
          <w14:textFill>
            <w14:solidFill>
              <w14:schemeClr w14:val="tx1"/>
            </w14:solidFill>
          </w14:textFill>
        </w:rPr>
        <w:t>权益云网络交易平台</w:t>
      </w:r>
    </w:p>
    <w:p>
      <w:pPr>
        <w:spacing w:line="360" w:lineRule="exact"/>
        <w:ind w:firstLine="1320" w:firstLineChars="550"/>
        <w:rPr>
          <w:rFonts w:asciiTheme="minorEastAsia" w:hAnsiTheme="minorEastAsia" w:eastAsiaTheme="minorEastAsia"/>
          <w:sz w:val="24"/>
        </w:rPr>
      </w:pPr>
      <w:r>
        <w:rPr>
          <w:rFonts w:hint="eastAsia" w:asciiTheme="minorEastAsia" w:hAnsiTheme="minorEastAsia" w:eastAsiaTheme="minorEastAsia"/>
          <w:sz w:val="24"/>
        </w:rPr>
        <w:t>联系电话：0597-2688591  2688592</w:t>
      </w:r>
    </w:p>
    <w:p>
      <w:pPr>
        <w:spacing w:line="360" w:lineRule="exact"/>
        <w:ind w:firstLine="1320" w:firstLineChars="550"/>
        <w:rPr>
          <w:rFonts w:asciiTheme="minorEastAsia" w:hAnsiTheme="minorEastAsia" w:eastAsiaTheme="minorEastAsia"/>
          <w:color w:val="333333"/>
          <w:spacing w:val="18"/>
          <w:sz w:val="18"/>
          <w:szCs w:val="18"/>
        </w:rPr>
      </w:pPr>
      <w:r>
        <w:rPr>
          <w:rFonts w:hint="eastAsia" w:asciiTheme="minorEastAsia" w:hAnsiTheme="minorEastAsia" w:eastAsiaTheme="minorEastAsia"/>
          <w:sz w:val="24"/>
        </w:rPr>
        <w:t>联系地址：</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val="en-US" w:eastAsia="zh-CN"/>
        </w:rPr>
        <w:t>八</w:t>
      </w:r>
      <w:r>
        <w:rPr>
          <w:rFonts w:hint="eastAsia" w:asciiTheme="minorEastAsia" w:hAnsiTheme="minorEastAsia" w:eastAsiaTheme="minorEastAsia"/>
          <w:spacing w:val="18"/>
          <w:sz w:val="24"/>
        </w:rPr>
        <w:t>层</w:t>
      </w:r>
    </w:p>
    <w:p>
      <w:pPr>
        <w:spacing w:line="360" w:lineRule="exact"/>
        <w:ind w:firstLine="1320" w:firstLineChars="55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sz w:val="24"/>
        </w:rPr>
        <w:t>网址：</w:t>
      </w:r>
      <w:r>
        <w:rPr>
          <w:rFonts w:hint="eastAsia" w:asciiTheme="minorEastAsia" w:hAnsiTheme="minorEastAsia" w:eastAsiaTheme="minorEastAsia"/>
          <w:color w:val="000000" w:themeColor="text1"/>
          <w:sz w:val="24"/>
          <w:u w:val="none"/>
          <w14:textFill>
            <w14:solidFill>
              <w14:schemeClr w14:val="tx1"/>
            </w14:solidFill>
          </w14:textFill>
        </w:rPr>
        <w:fldChar w:fldCharType="begin"/>
      </w:r>
      <w:r>
        <w:rPr>
          <w:rFonts w:hint="eastAsia" w:asciiTheme="minorEastAsia" w:hAnsiTheme="minorEastAsia" w:eastAsiaTheme="minorEastAsia"/>
          <w:color w:val="000000" w:themeColor="text1"/>
          <w:sz w:val="24"/>
          <w:u w:val="none"/>
          <w14:textFill>
            <w14:solidFill>
              <w14:schemeClr w14:val="tx1"/>
            </w14:solidFill>
          </w14:textFill>
        </w:rPr>
        <w:instrText xml:space="preserve"> HYPERLINK "http://www.lycqjy.com" </w:instrText>
      </w:r>
      <w:r>
        <w:rPr>
          <w:rFonts w:hint="eastAsia" w:asciiTheme="minorEastAsia" w:hAnsiTheme="minorEastAsia" w:eastAsiaTheme="minorEastAsia"/>
          <w:color w:val="000000" w:themeColor="text1"/>
          <w:sz w:val="24"/>
          <w:u w:val="none"/>
          <w14:textFill>
            <w14:solidFill>
              <w14:schemeClr w14:val="tx1"/>
            </w14:solidFill>
          </w14:textFill>
        </w:rPr>
        <w:fldChar w:fldCharType="separate"/>
      </w:r>
      <w:r>
        <w:rPr>
          <w:rStyle w:val="15"/>
          <w:rFonts w:hint="eastAsia" w:asciiTheme="minorEastAsia" w:hAnsiTheme="minorEastAsia" w:eastAsiaTheme="minorEastAsia"/>
          <w:color w:val="000000" w:themeColor="text1"/>
          <w:sz w:val="24"/>
          <w:u w:val="none"/>
          <w14:textFill>
            <w14:solidFill>
              <w14:schemeClr w14:val="tx1"/>
            </w14:solidFill>
          </w14:textFill>
        </w:rPr>
        <w:t>www.lycqjy.com</w:t>
      </w:r>
      <w:r>
        <w:rPr>
          <w:rFonts w:hint="eastAsia" w:asciiTheme="minorEastAsia" w:hAnsiTheme="minorEastAsia" w:eastAsiaTheme="minorEastAsia"/>
          <w:color w:val="000000" w:themeColor="text1"/>
          <w:sz w:val="24"/>
          <w:u w:val="none"/>
          <w14:textFill>
            <w14:solidFill>
              <w14:schemeClr w14:val="tx1"/>
            </w14:solidFill>
          </w14:textFill>
        </w:rPr>
        <w:fldChar w:fldCharType="end"/>
      </w:r>
      <w:r>
        <w:rPr>
          <w:rFonts w:hint="eastAsia" w:asciiTheme="minorEastAsia" w:hAnsiTheme="minorEastAsia" w:eastAsiaTheme="minorEastAsia"/>
          <w:color w:val="000000" w:themeColor="text1"/>
          <w:sz w:val="24"/>
          <w:lang w:val="en-US" w:eastAsia="zh-CN"/>
          <w14:textFill>
            <w14:solidFill>
              <w14:schemeClr w14:val="tx1"/>
            </w14:solidFill>
          </w14:textFill>
        </w:rPr>
        <w:t xml:space="preserve">  </w:t>
      </w:r>
      <w:r>
        <w:fldChar w:fldCharType="begin"/>
      </w:r>
      <w:r>
        <w:instrText xml:space="preserve"> HYPERLINK "http://www.lyggzy.com.cn/" </w:instrText>
      </w:r>
      <w:r>
        <w:fldChar w:fldCharType="separate"/>
      </w:r>
      <w:r>
        <w:rPr>
          <w:rStyle w:val="15"/>
          <w:rFonts w:hint="eastAsia" w:asciiTheme="minorEastAsia" w:hAnsiTheme="minorEastAsia" w:eastAsiaTheme="minorEastAsia"/>
          <w:color w:val="000000" w:themeColor="text1"/>
          <w:spacing w:val="18"/>
          <w:sz w:val="24"/>
          <w:u w:val="none"/>
          <w14:textFill>
            <w14:solidFill>
              <w14:schemeClr w14:val="tx1"/>
            </w14:solidFill>
          </w14:textFill>
        </w:rPr>
        <w:t>www.lyggzy.com.cn</w:t>
      </w:r>
      <w:r>
        <w:rPr>
          <w:rStyle w:val="15"/>
          <w:rFonts w:hint="eastAsia" w:asciiTheme="minorEastAsia" w:hAnsiTheme="minorEastAsia" w:eastAsiaTheme="minorEastAsia"/>
          <w:color w:val="000000" w:themeColor="text1"/>
          <w:spacing w:val="18"/>
          <w:sz w:val="24"/>
          <w:u w:val="none"/>
          <w14:textFill>
            <w14:solidFill>
              <w14:schemeClr w14:val="tx1"/>
            </w14:solidFill>
          </w14:textFill>
        </w:rPr>
        <w:fldChar w:fldCharType="end"/>
      </w:r>
      <w:r>
        <w:rPr>
          <w:rFonts w:hint="eastAsia" w:asciiTheme="minorEastAsia" w:hAnsiTheme="minorEastAsia" w:eastAsiaTheme="minorEastAsia"/>
          <w:color w:val="000000" w:themeColor="text1"/>
          <w:sz w:val="24"/>
          <w14:textFill>
            <w14:solidFill>
              <w14:schemeClr w14:val="tx1"/>
            </w14:solidFill>
          </w14:textFill>
        </w:rPr>
        <w:t xml:space="preserve">  </w:t>
      </w:r>
    </w:p>
    <w:p>
      <w:pPr>
        <w:ind w:firstLine="1325" w:firstLineChars="550"/>
        <w:rPr>
          <w:rFonts w:asciiTheme="minorEastAsia" w:hAnsiTheme="minorEastAsia" w:eastAsiaTheme="minorEastAsia"/>
          <w:b/>
          <w:sz w:val="24"/>
        </w:rPr>
      </w:pPr>
    </w:p>
    <w:p>
      <w:pPr>
        <w:ind w:firstLine="1650" w:firstLineChars="550"/>
        <w:rPr>
          <w:sz w:val="30"/>
          <w:szCs w:val="30"/>
        </w:rPr>
      </w:pPr>
    </w:p>
    <w:p>
      <w:pPr>
        <w:ind w:firstLine="1650" w:firstLineChars="550"/>
        <w:rPr>
          <w:sz w:val="30"/>
          <w:szCs w:val="30"/>
        </w:rPr>
      </w:pPr>
    </w:p>
    <w:p>
      <w:pPr>
        <w:ind w:firstLine="600"/>
        <w:rPr>
          <w:sz w:val="30"/>
          <w:szCs w:val="30"/>
          <w:u w:val="single"/>
        </w:rPr>
      </w:pPr>
      <w:r>
        <w:rPr>
          <w:rFonts w:hint="eastAsia"/>
          <w:sz w:val="30"/>
          <w:szCs w:val="30"/>
          <w:u w:val="single"/>
        </w:rPr>
        <w:t xml:space="preserve">                                                      </w:t>
      </w:r>
    </w:p>
    <w:p>
      <w:pPr>
        <w:ind w:firstLine="600"/>
        <w:jc w:val="center"/>
        <w:rPr>
          <w:rFonts w:ascii="隶书" w:eastAsia="隶书"/>
          <w:sz w:val="30"/>
          <w:szCs w:val="30"/>
        </w:rPr>
      </w:pP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龙岩市产权交易中心有限公司</w:t>
      </w:r>
    </w:p>
    <w:p>
      <w:pPr>
        <w:ind w:firstLine="602"/>
        <w:jc w:val="center"/>
        <w:rPr>
          <w:rFonts w:asciiTheme="minorEastAsia" w:hAnsiTheme="minorEastAsia" w:eastAsiaTheme="minorEastAsia"/>
          <w:b/>
          <w:color w:val="FF0000"/>
          <w:sz w:val="30"/>
          <w:szCs w:val="30"/>
        </w:rPr>
      </w:pPr>
      <w:r>
        <w:rPr>
          <w:rFonts w:hint="eastAsia" w:asciiTheme="minorEastAsia" w:hAnsiTheme="minorEastAsia" w:eastAsiaTheme="minorEastAsia"/>
          <w:b/>
          <w:color w:val="auto"/>
          <w:sz w:val="30"/>
          <w:szCs w:val="30"/>
        </w:rPr>
        <w:t>二O二</w:t>
      </w:r>
      <w:r>
        <w:rPr>
          <w:rFonts w:hint="eastAsia" w:asciiTheme="minorEastAsia" w:hAnsiTheme="minorEastAsia" w:eastAsiaTheme="minorEastAsia"/>
          <w:b/>
          <w:color w:val="auto"/>
          <w:sz w:val="30"/>
          <w:szCs w:val="30"/>
          <w:lang w:eastAsia="zh-CN"/>
        </w:rPr>
        <w:t>三</w:t>
      </w:r>
      <w:r>
        <w:rPr>
          <w:rFonts w:hint="eastAsia" w:asciiTheme="minorEastAsia" w:hAnsiTheme="minorEastAsia" w:eastAsiaTheme="minorEastAsia"/>
          <w:b/>
          <w:color w:val="auto"/>
          <w:sz w:val="30"/>
          <w:szCs w:val="30"/>
        </w:rPr>
        <w:t>年</w:t>
      </w:r>
      <w:r>
        <w:rPr>
          <w:rFonts w:hint="eastAsia" w:asciiTheme="minorEastAsia" w:hAnsiTheme="minorEastAsia" w:eastAsiaTheme="minorEastAsia"/>
          <w:b/>
          <w:color w:val="auto"/>
          <w:sz w:val="30"/>
          <w:szCs w:val="30"/>
          <w:lang w:val="en-US" w:eastAsia="zh-CN"/>
        </w:rPr>
        <w:t>十二</w:t>
      </w:r>
      <w:r>
        <w:rPr>
          <w:rFonts w:hint="eastAsia" w:asciiTheme="minorEastAsia" w:hAnsiTheme="minorEastAsia" w:eastAsiaTheme="minorEastAsia"/>
          <w:b/>
          <w:color w:val="auto"/>
          <w:sz w:val="30"/>
          <w:szCs w:val="30"/>
        </w:rPr>
        <w:t>月</w:t>
      </w:r>
    </w:p>
    <w:p>
      <w:pPr>
        <w:widowControl/>
        <w:jc w:val="left"/>
      </w:pPr>
      <w:r>
        <w:br w:type="page"/>
      </w:r>
    </w:p>
    <w:p>
      <w:pPr>
        <w:widowControl/>
        <w:jc w:val="left"/>
        <w:rPr>
          <w:b/>
          <w:sz w:val="36"/>
          <w:szCs w:val="36"/>
        </w:rPr>
      </w:pPr>
      <w:r>
        <w:rPr>
          <w:b/>
          <w:sz w:val="36"/>
          <w:szCs w:val="36"/>
        </w:rPr>
        <w:br w:type="page"/>
      </w:r>
    </w:p>
    <w:p>
      <w:pPr>
        <w:jc w:val="left"/>
        <w:rPr>
          <w:b/>
          <w:sz w:val="36"/>
          <w:szCs w:val="36"/>
        </w:rPr>
        <w:sectPr>
          <w:headerReference r:id="rId3" w:type="default"/>
          <w:headerReference r:id="rId4" w:type="even"/>
          <w:pgSz w:w="11906" w:h="16838"/>
          <w:pgMar w:top="1440" w:right="1797" w:bottom="1440" w:left="1797" w:header="851" w:footer="992" w:gutter="0"/>
          <w:cols w:space="425" w:num="1"/>
          <w:docGrid w:type="lines" w:linePitch="312" w:charSpace="0"/>
        </w:sectPr>
      </w:pPr>
    </w:p>
    <w:p>
      <w:pPr>
        <w:jc w:val="center"/>
        <w:rPr>
          <w:b/>
          <w:bCs/>
          <w:sz w:val="36"/>
          <w:szCs w:val="36"/>
        </w:rPr>
      </w:pPr>
      <w:r>
        <w:rPr>
          <w:rFonts w:hint="eastAsia"/>
          <w:b/>
          <w:sz w:val="36"/>
          <w:szCs w:val="36"/>
        </w:rPr>
        <w:t>挂牌</w:t>
      </w:r>
      <w:r>
        <w:rPr>
          <w:rFonts w:hint="eastAsia"/>
          <w:b/>
          <w:bCs/>
          <w:sz w:val="36"/>
          <w:szCs w:val="36"/>
        </w:rPr>
        <w:t>竞价转让文件清单</w:t>
      </w:r>
    </w:p>
    <w:p>
      <w:pPr>
        <w:spacing w:line="240" w:lineRule="exact"/>
        <w:jc w:val="center"/>
        <w:rPr>
          <w:b/>
          <w:bCs/>
          <w:sz w:val="44"/>
        </w:rPr>
      </w:pPr>
    </w:p>
    <w:p>
      <w:pPr>
        <w:spacing w:line="440" w:lineRule="exact"/>
        <w:ind w:firstLine="560" w:firstLineChars="200"/>
        <w:rPr>
          <w:color w:val="000000" w:themeColor="text1"/>
          <w:sz w:val="28"/>
          <w:szCs w:val="28"/>
          <w14:textFill>
            <w14:solidFill>
              <w14:schemeClr w14:val="tx1"/>
            </w14:solidFill>
          </w14:textFill>
        </w:rPr>
      </w:pP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w:t>
      </w:r>
      <w:r>
        <w:rPr>
          <w:rFonts w:hint="eastAsia" w:asciiTheme="minorEastAsia" w:hAnsiTheme="minorEastAsia" w:eastAsiaTheme="minorEastAsia"/>
          <w:bCs/>
          <w:color w:val="000000" w:themeColor="text1"/>
          <w:sz w:val="28"/>
          <w:szCs w:val="28"/>
          <w14:textFill>
            <w14:solidFill>
              <w14:schemeClr w14:val="tx1"/>
            </w14:solidFill>
          </w14:textFill>
        </w:rPr>
        <w:t>竞价转让特别规定</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440" w:lineRule="exact"/>
        <w:ind w:left="56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2.承诺书；</w:t>
      </w:r>
    </w:p>
    <w:p>
      <w:pPr>
        <w:spacing w:line="44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3.《交保证金特别提示》；</w:t>
      </w:r>
    </w:p>
    <w:p>
      <w:pPr>
        <w:spacing w:line="44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4.竞买保证金缴纳凭证；</w:t>
      </w:r>
    </w:p>
    <w:p>
      <w:pPr>
        <w:spacing w:line="44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5.授权委托书；</w:t>
      </w:r>
    </w:p>
    <w:p>
      <w:pPr>
        <w:spacing w:line="44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6.法定代表人资格证明书；</w:t>
      </w:r>
    </w:p>
    <w:p>
      <w:pPr>
        <w:spacing w:line="44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7.成交确认书样本；</w:t>
      </w:r>
    </w:p>
    <w:p>
      <w:pPr>
        <w:spacing w:line="44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8.股权转让合同(格式)；</w:t>
      </w:r>
    </w:p>
    <w:p>
      <w:pPr>
        <w:spacing w:line="44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30"/>
          <w14:textFill>
            <w14:solidFill>
              <w14:schemeClr w14:val="tx1"/>
            </w14:solidFill>
          </w14:textFill>
        </w:rPr>
        <w:t>9.</w:t>
      </w:r>
      <w:r>
        <w:rPr>
          <w:rFonts w:hint="eastAsia" w:asciiTheme="minorEastAsia" w:hAnsiTheme="minorEastAsia" w:eastAsiaTheme="minorEastAsia"/>
          <w:color w:val="000000" w:themeColor="text1"/>
          <w:sz w:val="28"/>
          <w:szCs w:val="30"/>
          <w:lang w:eastAsia="zh-CN"/>
          <w14:textFill>
            <w14:solidFill>
              <w14:schemeClr w14:val="tx1"/>
            </w14:solidFill>
          </w14:textFill>
        </w:rPr>
        <w:t>辰星所【202</w:t>
      </w:r>
      <w:r>
        <w:rPr>
          <w:rFonts w:hint="eastAsia" w:asciiTheme="minorEastAsia" w:hAnsiTheme="minorEastAsia" w:eastAsiaTheme="minorEastAsia"/>
          <w:color w:val="000000" w:themeColor="text1"/>
          <w:sz w:val="28"/>
          <w:szCs w:val="30"/>
          <w:lang w:val="en-US" w:eastAsia="zh-CN"/>
          <w14:textFill>
            <w14:solidFill>
              <w14:schemeClr w14:val="tx1"/>
            </w14:solidFill>
          </w14:textFill>
        </w:rPr>
        <w:t>3</w:t>
      </w:r>
      <w:r>
        <w:rPr>
          <w:rFonts w:hint="eastAsia" w:asciiTheme="minorEastAsia" w:hAnsiTheme="minorEastAsia" w:eastAsiaTheme="minorEastAsia"/>
          <w:color w:val="000000" w:themeColor="text1"/>
          <w:sz w:val="28"/>
          <w:szCs w:val="30"/>
          <w:lang w:eastAsia="zh-CN"/>
          <w14:textFill>
            <w14:solidFill>
              <w14:schemeClr w14:val="tx1"/>
            </w14:solidFill>
          </w14:textFill>
        </w:rPr>
        <w:t>】专审字第</w:t>
      </w:r>
      <w:r>
        <w:rPr>
          <w:rFonts w:hint="eastAsia" w:asciiTheme="minorEastAsia" w:hAnsiTheme="minorEastAsia" w:eastAsiaTheme="minorEastAsia"/>
          <w:color w:val="000000" w:themeColor="text1"/>
          <w:sz w:val="28"/>
          <w:szCs w:val="30"/>
          <w:lang w:val="en-US" w:eastAsia="zh-CN"/>
          <w14:textFill>
            <w14:solidFill>
              <w14:schemeClr w14:val="tx1"/>
            </w14:solidFill>
          </w14:textFill>
        </w:rPr>
        <w:t>06</w:t>
      </w:r>
      <w:r>
        <w:rPr>
          <w:rFonts w:hint="eastAsia" w:asciiTheme="minorEastAsia" w:hAnsiTheme="minorEastAsia" w:eastAsiaTheme="minorEastAsia"/>
          <w:color w:val="000000" w:themeColor="text1"/>
          <w:sz w:val="28"/>
          <w:szCs w:val="30"/>
          <w:lang w:eastAsia="zh-CN"/>
          <w14:textFill>
            <w14:solidFill>
              <w14:schemeClr w14:val="tx1"/>
            </w14:solidFill>
          </w14:textFill>
        </w:rPr>
        <w:t>6号</w:t>
      </w:r>
      <w:r>
        <w:rPr>
          <w:rFonts w:hint="eastAsia" w:asciiTheme="minorEastAsia" w:hAnsiTheme="minorEastAsia" w:eastAsiaTheme="minorEastAsia"/>
          <w:color w:val="000000" w:themeColor="text1"/>
          <w:sz w:val="28"/>
          <w:szCs w:val="30"/>
          <w14:textFill>
            <w14:solidFill>
              <w14:schemeClr w14:val="tx1"/>
            </w14:solidFill>
          </w14:textFill>
        </w:rPr>
        <w:t>《审计报告》复印件</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44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30"/>
          <w14:textFill>
            <w14:solidFill>
              <w14:schemeClr w14:val="tx1"/>
            </w14:solidFill>
          </w14:textFill>
        </w:rPr>
        <w:t>10.</w:t>
      </w:r>
      <w:r>
        <w:rPr>
          <w:rFonts w:hint="eastAsia" w:asciiTheme="minorEastAsia" w:hAnsiTheme="minorEastAsia" w:eastAsiaTheme="minorEastAsia"/>
          <w:color w:val="000000" w:themeColor="text1"/>
          <w:sz w:val="28"/>
          <w:szCs w:val="30"/>
          <w:lang w:eastAsia="zh-CN"/>
          <w14:textFill>
            <w14:solidFill>
              <w14:schemeClr w14:val="tx1"/>
            </w14:solidFill>
          </w14:textFill>
        </w:rPr>
        <w:t>岩泰评报</w:t>
      </w:r>
      <w:r>
        <w:rPr>
          <w:rFonts w:hint="eastAsia" w:asciiTheme="minorEastAsia" w:hAnsiTheme="minorEastAsia" w:eastAsiaTheme="minorEastAsia"/>
          <w:color w:val="000000" w:themeColor="text1"/>
          <w:sz w:val="28"/>
          <w:szCs w:val="30"/>
          <w14:textFill>
            <w14:solidFill>
              <w14:schemeClr w14:val="tx1"/>
            </w14:solidFill>
          </w14:textFill>
        </w:rPr>
        <w:t>字</w:t>
      </w:r>
      <w:r>
        <w:rPr>
          <w:rFonts w:hint="eastAsia" w:asciiTheme="minorEastAsia" w:hAnsiTheme="minorEastAsia" w:eastAsiaTheme="minorEastAsia"/>
          <w:color w:val="000000" w:themeColor="text1"/>
          <w:sz w:val="28"/>
          <w:szCs w:val="30"/>
          <w:lang w:val="en-US" w:eastAsia="zh-CN"/>
          <w14:textFill>
            <w14:solidFill>
              <w14:schemeClr w14:val="tx1"/>
            </w14:solidFill>
          </w14:textFill>
        </w:rPr>
        <w:t>【</w:t>
      </w:r>
      <w:r>
        <w:rPr>
          <w:rFonts w:hint="eastAsia" w:asciiTheme="minorEastAsia" w:hAnsiTheme="minorEastAsia" w:eastAsiaTheme="minorEastAsia"/>
          <w:color w:val="000000" w:themeColor="text1"/>
          <w:sz w:val="28"/>
          <w:szCs w:val="30"/>
          <w14:textFill>
            <w14:solidFill>
              <w14:schemeClr w14:val="tx1"/>
            </w14:solidFill>
          </w14:textFill>
        </w:rPr>
        <w:t>202</w:t>
      </w:r>
      <w:r>
        <w:rPr>
          <w:rFonts w:hint="eastAsia" w:asciiTheme="minorEastAsia" w:hAnsiTheme="minorEastAsia" w:eastAsiaTheme="minorEastAsia"/>
          <w:color w:val="000000" w:themeColor="text1"/>
          <w:sz w:val="28"/>
          <w:szCs w:val="30"/>
          <w:lang w:val="en-US" w:eastAsia="zh-CN"/>
          <w14:textFill>
            <w14:solidFill>
              <w14:schemeClr w14:val="tx1"/>
            </w14:solidFill>
          </w14:textFill>
        </w:rPr>
        <w:t>3】</w:t>
      </w:r>
      <w:r>
        <w:rPr>
          <w:rFonts w:hint="eastAsia" w:asciiTheme="minorEastAsia" w:hAnsiTheme="minorEastAsia" w:eastAsiaTheme="minorEastAsia"/>
          <w:color w:val="000000" w:themeColor="text1"/>
          <w:sz w:val="28"/>
          <w:szCs w:val="30"/>
          <w14:textFill>
            <w14:solidFill>
              <w14:schemeClr w14:val="tx1"/>
            </w14:solidFill>
          </w14:textFill>
        </w:rPr>
        <w:t>第</w:t>
      </w:r>
      <w:r>
        <w:rPr>
          <w:rFonts w:hint="eastAsia" w:asciiTheme="minorEastAsia" w:hAnsiTheme="minorEastAsia" w:eastAsiaTheme="minorEastAsia"/>
          <w:color w:val="000000" w:themeColor="text1"/>
          <w:sz w:val="28"/>
          <w:szCs w:val="30"/>
          <w:lang w:val="en-US" w:eastAsia="zh-CN"/>
          <w14:textFill>
            <w14:solidFill>
              <w14:schemeClr w14:val="tx1"/>
            </w14:solidFill>
          </w14:textFill>
        </w:rPr>
        <w:t>010</w:t>
      </w:r>
      <w:r>
        <w:rPr>
          <w:rFonts w:hint="eastAsia" w:asciiTheme="minorEastAsia" w:hAnsiTheme="minorEastAsia" w:eastAsiaTheme="minorEastAsia"/>
          <w:color w:val="000000" w:themeColor="text1"/>
          <w:sz w:val="28"/>
          <w:szCs w:val="30"/>
          <w14:textFill>
            <w14:solidFill>
              <w14:schemeClr w14:val="tx1"/>
            </w14:solidFill>
          </w14:textFill>
        </w:rPr>
        <w:t>号《评估报告》复印件</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14:textFill>
            <w14:solidFill>
              <w14:schemeClr w14:val="tx1"/>
            </w14:solidFill>
          </w14:textFill>
        </w:rPr>
      </w:pPr>
    </w:p>
    <w:p>
      <w:pPr>
        <w:spacing w:line="440" w:lineRule="exact"/>
        <w:ind w:firstLine="560" w:firstLineChars="200"/>
        <w:rPr>
          <w:color w:val="000000" w:themeColor="text1"/>
          <w:sz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提示：</w:t>
      </w:r>
      <w:r>
        <w:rPr>
          <w:rFonts w:hint="eastAsia"/>
          <w:b/>
          <w:color w:val="000000" w:themeColor="text1"/>
          <w:sz w:val="28"/>
          <w:szCs w:val="28"/>
          <w:u w:val="single"/>
          <w14:textFill>
            <w14:solidFill>
              <w14:schemeClr w14:val="tx1"/>
            </w14:solidFill>
          </w14:textFill>
        </w:rPr>
        <w:t>竞买人应当面认真核对所购材料是否与《文件清单》所列一致，若有缺，请即时提出更换；如相一致，请签名确认后，交回龙岩市产权交易中心有限公司壹份存档。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 xml:space="preserve">            竞买人（签章）：</w:t>
      </w:r>
      <w:r>
        <w:rPr>
          <w:rFonts w:hint="eastAsia"/>
          <w:color w:val="000000" w:themeColor="text1"/>
          <w:sz w:val="28"/>
          <w:szCs w:val="28"/>
          <w:u w:val="single"/>
          <w14:textFill>
            <w14:solidFill>
              <w14:schemeClr w14:val="tx1"/>
            </w14:solidFill>
          </w14:textFill>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联系电话：</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年   月   日</w:t>
      </w: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52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竞价转让特别规定</w:t>
      </w:r>
    </w:p>
    <w:p>
      <w:pPr>
        <w:spacing w:line="520" w:lineRule="exact"/>
        <w:jc w:val="center"/>
        <w:rPr>
          <w:rFonts w:asciiTheme="minorEastAsia" w:hAnsiTheme="minorEastAsia" w:eastAsiaTheme="minorEastAsia"/>
          <w:sz w:val="30"/>
        </w:rPr>
      </w:pPr>
    </w:p>
    <w:p>
      <w:pPr>
        <w:pBdr>
          <w:top w:val="single" w:color="auto" w:sz="4" w:space="1"/>
          <w:left w:val="single" w:color="auto" w:sz="4" w:space="4"/>
          <w:bottom w:val="single" w:color="auto" w:sz="4" w:space="1"/>
          <w:right w:val="single" w:color="auto" w:sz="4" w:space="4"/>
        </w:pBd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sz w:val="32"/>
          <w:szCs w:val="32"/>
        </w:rPr>
        <w:t>龙岩市产权交易中心有限公司特别提示：竞买人必须认真阅读本规定</w:t>
      </w:r>
    </w:p>
    <w:p>
      <w:pPr>
        <w:pStyle w:val="5"/>
        <w:spacing w:line="520" w:lineRule="exact"/>
        <w:ind w:firstLine="477" w:firstLineChars="199"/>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龙岩市产权交易中心有限公司（以下简称“本公司”）遵循“公开、公平、公正、诚实信用”的原则，受委托人</w:t>
      </w:r>
      <w:r>
        <w:rPr>
          <w:rFonts w:hint="eastAsia" w:ascii="宋体" w:hAnsi="宋体" w:eastAsiaTheme="minorEastAsia"/>
          <w:color w:val="000000" w:themeColor="text1"/>
          <w:sz w:val="24"/>
          <w:lang w:eastAsia="zh-CN"/>
          <w14:textFill>
            <w14:solidFill>
              <w14:schemeClr w14:val="tx1"/>
            </w14:solidFill>
          </w14:textFill>
        </w:rPr>
        <w:t>龙岩交发置业集团有限公司</w:t>
      </w:r>
      <w:r>
        <w:rPr>
          <w:rFonts w:hint="eastAsia" w:asciiTheme="minorEastAsia" w:hAnsiTheme="minorEastAsia" w:eastAsiaTheme="minorEastAsia"/>
          <w:color w:val="000000" w:themeColor="text1"/>
          <w:sz w:val="24"/>
          <w14:textFill>
            <w14:solidFill>
              <w14:schemeClr w14:val="tx1"/>
            </w14:solidFill>
          </w14:textFill>
        </w:rPr>
        <w:t>的委托，依照国家法律、法规、政策为本次竞价活动提供服务，现将有关竞买事项告知如下：</w:t>
      </w:r>
    </w:p>
    <w:p>
      <w:pPr>
        <w:spacing w:line="520" w:lineRule="exac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一、公开挂牌竞价、报名的时间、地点：</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000000" w:themeColor="text1"/>
          <w:sz w:val="24"/>
          <w14:textFill>
            <w14:solidFill>
              <w14:schemeClr w14:val="tx1"/>
            </w14:solidFill>
          </w14:textFill>
        </w:rPr>
        <w:t>竞价时间：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4</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1</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24</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日8时至9时30分（限时报价120秒）</w:t>
      </w:r>
    </w:p>
    <w:p>
      <w:pPr>
        <w:spacing w:line="520" w:lineRule="exact"/>
        <w:ind w:firstLine="480" w:firstLineChars="200"/>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竞价地点：</w:t>
      </w:r>
      <w:r>
        <w:rPr>
          <w:rFonts w:hint="eastAsia" w:asciiTheme="minorEastAsia" w:hAnsiTheme="minorEastAsia" w:eastAsiaTheme="minorEastAsia"/>
          <w:color w:val="auto"/>
          <w:sz w:val="24"/>
          <w:shd w:val="clear" w:color="auto" w:fill="FFFFFF"/>
        </w:rPr>
        <w:t>权益云网络交易平台（网址：</w:t>
      </w:r>
      <w:r>
        <w:rPr>
          <w:color w:val="auto"/>
        </w:rPr>
        <w:fldChar w:fldCharType="begin"/>
      </w:r>
      <w:r>
        <w:rPr>
          <w:color w:val="auto"/>
        </w:rPr>
        <w:instrText xml:space="preserve"> HYPERLINK "https://www.unibid.cn" </w:instrText>
      </w:r>
      <w:r>
        <w:rPr>
          <w:color w:val="auto"/>
        </w:rPr>
        <w:fldChar w:fldCharType="separate"/>
      </w:r>
      <w:r>
        <w:rPr>
          <w:rStyle w:val="15"/>
          <w:rFonts w:hint="eastAsia" w:asciiTheme="minorEastAsia" w:hAnsiTheme="minorEastAsia" w:eastAsiaTheme="minorEastAsia"/>
          <w:color w:val="auto"/>
          <w:sz w:val="24"/>
          <w:shd w:val="clear" w:color="auto" w:fill="FFFFFF"/>
        </w:rPr>
        <w:t>https://www.unibid.cn</w:t>
      </w:r>
      <w:r>
        <w:rPr>
          <w:rStyle w:val="15"/>
          <w:rFonts w:hint="eastAsia" w:asciiTheme="minorEastAsia" w:hAnsiTheme="minorEastAsia" w:eastAsiaTheme="minorEastAsia"/>
          <w:color w:val="auto"/>
          <w:sz w:val="24"/>
          <w:shd w:val="clear" w:color="auto" w:fill="FFFFFF"/>
        </w:rPr>
        <w:fldChar w:fldCharType="end"/>
      </w:r>
      <w:r>
        <w:rPr>
          <w:rFonts w:hint="eastAsia" w:asciiTheme="minorEastAsia" w:hAnsiTheme="minorEastAsia" w:eastAsiaTheme="minorEastAsia"/>
          <w:color w:val="auto"/>
          <w:sz w:val="24"/>
          <w:shd w:val="clear" w:color="auto" w:fill="FFFFFF"/>
        </w:rPr>
        <w:t>）</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报名时间：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eastAsia="zh-CN"/>
        </w:rPr>
        <w:t>即日起</w:t>
      </w:r>
      <w:r>
        <w:rPr>
          <w:rFonts w:hint="eastAsia" w:asciiTheme="minorEastAsia" w:hAnsiTheme="minorEastAsia" w:eastAsiaTheme="minorEastAsia"/>
          <w:color w:val="auto"/>
          <w:sz w:val="24"/>
        </w:rPr>
        <w:t>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4</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1</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23</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日17时（节假日除外）</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联系电话：0597-2688591  2688592    传真：2688583</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报名地点：</w:t>
      </w:r>
      <w:r>
        <w:rPr>
          <w:rFonts w:hint="eastAsia" w:asciiTheme="minorEastAsia" w:hAnsiTheme="minorEastAsia" w:eastAsiaTheme="minorEastAsia"/>
          <w:color w:val="auto"/>
          <w:spacing w:val="18"/>
          <w:sz w:val="24"/>
        </w:rPr>
        <w:t>龙岩市莲西路市公共资源交易中心</w:t>
      </w:r>
      <w:r>
        <w:rPr>
          <w:rFonts w:hint="eastAsia" w:asciiTheme="minorEastAsia" w:hAnsiTheme="minorEastAsia" w:eastAsiaTheme="minorEastAsia"/>
          <w:color w:val="auto"/>
          <w:spacing w:val="18"/>
          <w:sz w:val="24"/>
          <w:lang w:val="en-US" w:eastAsia="zh-CN"/>
        </w:rPr>
        <w:t>八</w:t>
      </w:r>
      <w:r>
        <w:rPr>
          <w:rFonts w:hint="eastAsia" w:asciiTheme="minorEastAsia" w:hAnsiTheme="minorEastAsia" w:eastAsiaTheme="minorEastAsia"/>
          <w:color w:val="auto"/>
          <w:spacing w:val="18"/>
          <w:sz w:val="24"/>
        </w:rPr>
        <w:t>层</w:t>
      </w:r>
    </w:p>
    <w:p>
      <w:pPr>
        <w:spacing w:line="52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color w:val="auto"/>
          <w:sz w:val="24"/>
        </w:rPr>
        <w:t>尽职调查时间：</w:t>
      </w:r>
      <w:r>
        <w:rPr>
          <w:rFonts w:hint="eastAsia" w:asciiTheme="minorEastAsia" w:hAnsiTheme="minorEastAsia" w:eastAsiaTheme="minorEastAsia"/>
          <w:color w:val="auto"/>
          <w:sz w:val="24"/>
          <w:u w:val="single"/>
          <w:lang w:eastAsia="zh-CN"/>
        </w:rPr>
        <w:t>即日起</w:t>
      </w:r>
      <w:r>
        <w:rPr>
          <w:rFonts w:hint="eastAsia" w:asciiTheme="minorEastAsia" w:hAnsiTheme="minorEastAsia" w:eastAsiaTheme="minorEastAsia"/>
          <w:color w:val="auto"/>
          <w:sz w:val="24"/>
        </w:rPr>
        <w:t>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4</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1</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23</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咨询电话：</w:t>
      </w:r>
      <w:r>
        <w:rPr>
          <w:rFonts w:hint="eastAsia" w:asciiTheme="minorEastAsia" w:hAnsiTheme="minorEastAsia" w:eastAsiaTheme="minorEastAsia"/>
          <w:color w:val="000000" w:themeColor="text1"/>
          <w:sz w:val="24"/>
          <w:lang w:val="en-US" w:eastAsia="zh-CN"/>
          <w14:textFill>
            <w14:solidFill>
              <w14:schemeClr w14:val="tx1"/>
            </w14:solidFill>
          </w14:textFill>
        </w:rPr>
        <w:t>15059930628李</w:t>
      </w:r>
      <w:r>
        <w:rPr>
          <w:rFonts w:hint="eastAsia" w:asciiTheme="minorEastAsia" w:hAnsiTheme="minorEastAsia" w:eastAsiaTheme="minorEastAsia"/>
          <w:color w:val="000000" w:themeColor="text1"/>
          <w:sz w:val="24"/>
          <w14:textFill>
            <w14:solidFill>
              <w14:schemeClr w14:val="tx1"/>
            </w14:solidFill>
          </w14:textFill>
        </w:rPr>
        <w:t>先生</w:t>
      </w:r>
    </w:p>
    <w:p>
      <w:pPr>
        <w:spacing w:line="520" w:lineRule="exact"/>
        <w:jc w:val="left"/>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二、转让标的：</w:t>
      </w:r>
      <w:r>
        <w:rPr>
          <w:rFonts w:hint="eastAsia"/>
          <w:sz w:val="24"/>
          <w:szCs w:val="24"/>
          <w:u w:val="none"/>
          <w:lang w:val="en-US" w:eastAsia="zh-CN"/>
        </w:rPr>
        <w:t>福建美嘉龙建材有限公司5</w:t>
      </w:r>
      <w:r>
        <w:rPr>
          <w:rFonts w:hint="eastAsia" w:ascii="宋体" w:hAnsi="宋体" w:eastAsia="宋体" w:cs="宋体"/>
          <w:sz w:val="24"/>
          <w:szCs w:val="24"/>
        </w:rPr>
        <w:t>%</w:t>
      </w:r>
      <w:r>
        <w:rPr>
          <w:rFonts w:hint="eastAsia"/>
          <w:sz w:val="24"/>
          <w:szCs w:val="24"/>
          <w:u w:val="none"/>
          <w:lang w:val="en-US" w:eastAsia="zh-CN"/>
        </w:rPr>
        <w:t>股权</w:t>
      </w:r>
      <w:r>
        <w:rPr>
          <w:rFonts w:hint="eastAsia" w:ascii="宋体" w:hAnsi="宋体"/>
          <w:color w:val="000000" w:themeColor="text1"/>
          <w:sz w:val="24"/>
          <w14:textFill>
            <w14:solidFill>
              <w14:schemeClr w14:val="tx1"/>
            </w14:solidFill>
          </w14:textFill>
        </w:rPr>
        <w:t>。</w:t>
      </w:r>
    </w:p>
    <w:p>
      <w:pPr>
        <w:spacing w:line="520" w:lineRule="exact"/>
        <w:rPr>
          <w:rFonts w:asciiTheme="minorEastAsia" w:hAnsiTheme="minorEastAsia" w:eastAsiaTheme="minorEastAsia"/>
          <w:b/>
          <w:bCs/>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三、转让底价：</w:t>
      </w:r>
      <w:r>
        <w:rPr>
          <w:rFonts w:hint="eastAsia" w:ascii="宋体" w:hAnsi="宋体"/>
          <w:color w:val="000000" w:themeColor="text1"/>
          <w:sz w:val="24"/>
          <w14:textFill>
            <w14:solidFill>
              <w14:schemeClr w14:val="tx1"/>
            </w14:solidFill>
          </w14:textFill>
        </w:rPr>
        <w:t>人民币</w:t>
      </w:r>
      <w:r>
        <w:rPr>
          <w:rFonts w:hint="eastAsia" w:ascii="宋体" w:hAnsi="宋体"/>
          <w:color w:val="000000"/>
          <w:sz w:val="24"/>
          <w:lang w:val="en-US" w:eastAsia="zh-CN"/>
        </w:rPr>
        <w:t>1500</w:t>
      </w:r>
      <w:r>
        <w:rPr>
          <w:rFonts w:hint="eastAsia" w:ascii="宋体" w:hAnsi="宋体"/>
          <w:color w:val="000000" w:themeColor="text1"/>
          <w:sz w:val="24"/>
          <w14:textFill>
            <w14:solidFill>
              <w14:schemeClr w14:val="tx1"/>
            </w14:solidFill>
          </w14:textFill>
        </w:rPr>
        <w:t>万元。</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四、标的基本情况</w:t>
      </w:r>
    </w:p>
    <w:p>
      <w:pPr>
        <w:widowControl/>
        <w:spacing w:line="520" w:lineRule="exact"/>
        <w:ind w:firstLine="480" w:firstLineChars="200"/>
        <w:rPr>
          <w:rFonts w:ascii="宋体" w:hAnsi="宋体"/>
          <w:color w:val="000000"/>
          <w:sz w:val="24"/>
        </w:rPr>
      </w:pPr>
      <w:r>
        <w:rPr>
          <w:rFonts w:hint="eastAsia" w:ascii="宋体" w:hAnsi="宋体"/>
          <w:sz w:val="24"/>
        </w:rPr>
        <w:t>1.</w:t>
      </w:r>
      <w:r>
        <w:rPr>
          <w:rFonts w:hint="eastAsia" w:ascii="宋体" w:hAnsi="宋体" w:eastAsia="宋体" w:cs="宋体"/>
          <w:sz w:val="24"/>
          <w:szCs w:val="24"/>
        </w:rPr>
        <w:t>福建美嘉龙建材有限公司成立于2008-07-31，取得龙岩市新罗区市场监督管理局核发的91350800678452481B号《营业执照》；注册资本为人民币5000万元；法定代表人：</w:t>
      </w:r>
      <w:r>
        <w:rPr>
          <w:rFonts w:hint="eastAsia" w:ascii="宋体" w:hAnsi="宋体" w:eastAsia="宋体" w:cs="宋体"/>
          <w:sz w:val="24"/>
          <w:szCs w:val="24"/>
          <w:lang w:val="en-US" w:eastAsia="zh-CN"/>
        </w:rPr>
        <w:t>陈柏花</w:t>
      </w:r>
      <w:r>
        <w:rPr>
          <w:rFonts w:hint="eastAsia" w:ascii="宋体" w:hAnsi="宋体" w:eastAsia="宋体" w:cs="宋体"/>
          <w:sz w:val="24"/>
          <w:szCs w:val="24"/>
        </w:rPr>
        <w:t>；住所：龙岩市新罗区龙门镇谢洋村双洋路北侧；公司经营范围：建材（不含木材及危险化学品）、家居用品、家用电器、五金产品、机械设备(汽车、无线发射装置、卫星地面接收设施等需办理前置审批的项目除外)的批发及零售；企业管理及咨询服务；舞台音响设备的租赁；自有商业房屋租赁服务；物业管理。(依法须经批准的项目，经相关部门批准后方可开展经营活动)。2020年9月10日设立全资子公司龙岩市万宝家居商业综合体管理服务有限公司。</w:t>
      </w:r>
    </w:p>
    <w:p>
      <w:pPr>
        <w:spacing w:line="520" w:lineRule="exact"/>
        <w:ind w:firstLine="470" w:firstLineChars="196"/>
        <w:rPr>
          <w:rFonts w:hint="eastAsia" w:ascii="宋体" w:hAnsi="宋体"/>
          <w:color w:val="000000"/>
          <w:sz w:val="24"/>
        </w:rPr>
      </w:pPr>
      <w:r>
        <w:rPr>
          <w:rFonts w:hint="eastAsia" w:ascii="宋体" w:hAnsi="宋体"/>
          <w:color w:val="000000"/>
          <w:sz w:val="24"/>
        </w:rPr>
        <w:t>2.标的公司股权结构</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538"/>
        <w:gridCol w:w="229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520" w:lineRule="exact"/>
              <w:jc w:val="center"/>
              <w:rPr>
                <w:rFonts w:hint="eastAsia" w:ascii="宋体" w:hAnsi="宋体"/>
                <w:color w:val="000000"/>
                <w:sz w:val="24"/>
                <w:szCs w:val="24"/>
              </w:rPr>
            </w:pPr>
            <w:r>
              <w:rPr>
                <w:rFonts w:hint="eastAsia" w:ascii="宋体" w:hAnsi="宋体"/>
                <w:color w:val="000000"/>
                <w:sz w:val="24"/>
                <w:szCs w:val="24"/>
              </w:rPr>
              <w:t>序号</w:t>
            </w:r>
          </w:p>
        </w:tc>
        <w:tc>
          <w:tcPr>
            <w:tcW w:w="3538" w:type="dxa"/>
            <w:noWrap w:val="0"/>
            <w:vAlign w:val="center"/>
          </w:tcPr>
          <w:p>
            <w:pPr>
              <w:spacing w:line="520" w:lineRule="exact"/>
              <w:jc w:val="center"/>
              <w:rPr>
                <w:rFonts w:hint="eastAsia" w:ascii="宋体" w:hAnsi="宋体"/>
                <w:color w:val="000000"/>
                <w:sz w:val="24"/>
                <w:szCs w:val="24"/>
              </w:rPr>
            </w:pPr>
            <w:r>
              <w:rPr>
                <w:rFonts w:hint="eastAsia" w:ascii="宋体" w:hAnsi="宋体"/>
                <w:color w:val="000000"/>
                <w:sz w:val="24"/>
                <w:szCs w:val="24"/>
              </w:rPr>
              <w:t>股东名称</w:t>
            </w:r>
          </w:p>
        </w:tc>
        <w:tc>
          <w:tcPr>
            <w:tcW w:w="2295" w:type="dxa"/>
            <w:noWrap w:val="0"/>
            <w:vAlign w:val="center"/>
          </w:tcPr>
          <w:p>
            <w:pPr>
              <w:spacing w:line="520" w:lineRule="exact"/>
              <w:jc w:val="center"/>
              <w:rPr>
                <w:rFonts w:hint="eastAsia" w:ascii="宋体" w:hAnsi="宋体"/>
                <w:color w:val="000000"/>
                <w:sz w:val="24"/>
                <w:szCs w:val="24"/>
              </w:rPr>
            </w:pPr>
            <w:r>
              <w:rPr>
                <w:rFonts w:hint="eastAsia" w:ascii="宋体" w:hAnsi="宋体"/>
                <w:color w:val="000000"/>
                <w:sz w:val="24"/>
                <w:szCs w:val="24"/>
              </w:rPr>
              <w:t>认缴出资额(万元)</w:t>
            </w:r>
          </w:p>
        </w:tc>
        <w:tc>
          <w:tcPr>
            <w:tcW w:w="1395" w:type="dxa"/>
            <w:noWrap w:val="0"/>
            <w:vAlign w:val="center"/>
          </w:tcPr>
          <w:p>
            <w:pPr>
              <w:spacing w:line="520" w:lineRule="exact"/>
              <w:jc w:val="center"/>
              <w:rPr>
                <w:rFonts w:hint="eastAsia" w:ascii="宋体" w:hAnsi="宋体"/>
                <w:color w:val="000000"/>
                <w:sz w:val="24"/>
                <w:szCs w:val="24"/>
              </w:rPr>
            </w:pPr>
            <w:r>
              <w:rPr>
                <w:rFonts w:hint="eastAsia" w:ascii="宋体" w:hAnsi="宋体"/>
                <w:color w:val="000000"/>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52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1</w:t>
            </w:r>
          </w:p>
        </w:tc>
        <w:tc>
          <w:tcPr>
            <w:tcW w:w="3538" w:type="dxa"/>
            <w:noWrap w:val="0"/>
            <w:vAlign w:val="center"/>
          </w:tcPr>
          <w:p>
            <w:pPr>
              <w:spacing w:line="52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龙岩市凌菲贸易有限公司</w:t>
            </w:r>
          </w:p>
        </w:tc>
        <w:tc>
          <w:tcPr>
            <w:tcW w:w="2295" w:type="dxa"/>
            <w:noWrap w:val="0"/>
            <w:vAlign w:val="center"/>
          </w:tcPr>
          <w:p>
            <w:pPr>
              <w:spacing w:line="52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w:t>
            </w:r>
            <w:r>
              <w:rPr>
                <w:rFonts w:hint="eastAsia" w:ascii="宋体" w:hAnsi="宋体" w:eastAsia="宋体" w:cs="Times New Roman"/>
                <w:color w:val="000000"/>
                <w:sz w:val="24"/>
                <w:szCs w:val="24"/>
              </w:rPr>
              <w:t>,0</w:t>
            </w:r>
            <w:r>
              <w:rPr>
                <w:rFonts w:hint="eastAsia" w:ascii="宋体" w:hAnsi="宋体" w:eastAsia="宋体" w:cs="Times New Roman"/>
                <w:color w:val="000000"/>
                <w:sz w:val="24"/>
                <w:szCs w:val="24"/>
                <w:lang w:val="en-US" w:eastAsia="zh-CN"/>
              </w:rPr>
              <w:t>00.00</w:t>
            </w:r>
          </w:p>
        </w:tc>
        <w:tc>
          <w:tcPr>
            <w:tcW w:w="1395" w:type="dxa"/>
            <w:noWrap w:val="0"/>
            <w:vAlign w:val="center"/>
          </w:tcPr>
          <w:p>
            <w:pPr>
              <w:spacing w:line="52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80</w:t>
            </w:r>
            <w:r>
              <w:rPr>
                <w:rFonts w:hint="eastAsia" w:ascii="宋体" w:hAnsi="宋体" w:eastAsia="宋体"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52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w:t>
            </w:r>
          </w:p>
        </w:tc>
        <w:tc>
          <w:tcPr>
            <w:tcW w:w="3538" w:type="dxa"/>
            <w:noWrap w:val="0"/>
            <w:vAlign w:val="center"/>
          </w:tcPr>
          <w:p>
            <w:pPr>
              <w:spacing w:line="52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lang w:eastAsia="zh-CN"/>
              </w:rPr>
              <w:t>龙岩交发置业集团有限公司</w:t>
            </w:r>
          </w:p>
        </w:tc>
        <w:tc>
          <w:tcPr>
            <w:tcW w:w="2295" w:type="dxa"/>
            <w:noWrap w:val="0"/>
            <w:vAlign w:val="center"/>
          </w:tcPr>
          <w:p>
            <w:pPr>
              <w:spacing w:line="52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w:t>
            </w:r>
            <w:r>
              <w:rPr>
                <w:rFonts w:hint="eastAsia" w:ascii="宋体" w:hAnsi="宋体" w:eastAsia="宋体" w:cs="Times New Roman"/>
                <w:color w:val="000000"/>
                <w:sz w:val="24"/>
                <w:szCs w:val="24"/>
              </w:rPr>
              <w:t>,</w:t>
            </w:r>
            <w:r>
              <w:rPr>
                <w:rFonts w:hint="eastAsia" w:ascii="宋体" w:hAnsi="宋体" w:eastAsia="宋体" w:cs="Times New Roman"/>
                <w:color w:val="000000"/>
                <w:sz w:val="24"/>
                <w:szCs w:val="24"/>
                <w:lang w:val="en-US" w:eastAsia="zh-CN"/>
              </w:rPr>
              <w:t>000.0</w:t>
            </w:r>
            <w:r>
              <w:rPr>
                <w:rFonts w:hint="eastAsia" w:ascii="宋体" w:hAnsi="宋体" w:eastAsia="宋体" w:cs="Times New Roman"/>
                <w:color w:val="000000"/>
                <w:sz w:val="24"/>
                <w:szCs w:val="24"/>
              </w:rPr>
              <w:t>0</w:t>
            </w:r>
          </w:p>
        </w:tc>
        <w:tc>
          <w:tcPr>
            <w:tcW w:w="1395" w:type="dxa"/>
            <w:noWrap w:val="0"/>
            <w:vAlign w:val="center"/>
          </w:tcPr>
          <w:p>
            <w:pPr>
              <w:spacing w:line="52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20%</w:t>
            </w:r>
          </w:p>
        </w:tc>
      </w:tr>
    </w:tbl>
    <w:p>
      <w:pPr>
        <w:numPr>
          <w:ilvl w:val="0"/>
          <w:numId w:val="1"/>
        </w:numPr>
        <w:spacing w:line="520" w:lineRule="exact"/>
        <w:ind w:firstLine="480" w:firstLineChars="200"/>
        <w:jc w:val="left"/>
        <w:rPr>
          <w:rFonts w:hint="eastAsia" w:ascii="宋体" w:hAnsi="宋体"/>
          <w:color w:val="auto"/>
          <w:sz w:val="24"/>
        </w:rPr>
      </w:pPr>
      <w:r>
        <w:rPr>
          <w:rFonts w:hint="eastAsia" w:ascii="宋体" w:hAnsi="宋体"/>
          <w:color w:val="000000"/>
          <w:sz w:val="24"/>
        </w:rPr>
        <w:t>标的公</w:t>
      </w:r>
      <w:r>
        <w:rPr>
          <w:rFonts w:hint="eastAsia" w:ascii="宋体" w:hAnsi="宋体"/>
          <w:color w:val="auto"/>
          <w:sz w:val="24"/>
        </w:rPr>
        <w:t>司近期财务指标（金额单位：人民币万元）</w:t>
      </w:r>
    </w:p>
    <w:tbl>
      <w:tblPr>
        <w:tblStyle w:val="10"/>
        <w:tblW w:w="8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8"/>
        <w:gridCol w:w="2016"/>
        <w:gridCol w:w="2016"/>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32" w:type="dxa"/>
            <w:noWrap w:val="0"/>
            <w:vAlign w:val="top"/>
          </w:tcPr>
          <w:p>
            <w:pPr>
              <w:spacing w:line="520" w:lineRule="exact"/>
              <w:rPr>
                <w:rFonts w:hint="eastAsia" w:ascii="宋体" w:hAnsi="宋体"/>
                <w:color w:val="auto"/>
                <w:sz w:val="24"/>
                <w:szCs w:val="24"/>
              </w:rPr>
            </w:pPr>
            <w:r>
              <w:rPr>
                <w:rFonts w:hint="eastAsia" w:ascii="宋体" w:hAnsi="宋体"/>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20320</wp:posOffset>
                      </wp:positionV>
                      <wp:extent cx="1228725" cy="398780"/>
                      <wp:effectExtent l="1270" t="4445" r="8255" b="15875"/>
                      <wp:wrapNone/>
                      <wp:docPr id="1" name="__TH_L11"/>
                      <wp:cNvGraphicFramePr/>
                      <a:graphic xmlns:a="http://schemas.openxmlformats.org/drawingml/2006/main">
                        <a:graphicData uri="http://schemas.microsoft.com/office/word/2010/wordprocessingShape">
                          <wps:wsp>
                            <wps:cNvCnPr/>
                            <wps:spPr>
                              <a:xfrm>
                                <a:off x="0" y="0"/>
                                <a:ext cx="1228725" cy="39878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11" o:spid="_x0000_s1026" o:spt="20" style="position:absolute;left:0pt;margin-left:-5.4pt;margin-top:1.6pt;height:31.4pt;width:96.75pt;z-index:251659264;mso-width-relative:page;mso-height-relative:page;" filled="f" stroked="t" coordsize="21600,21600" o:gfxdata="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T6QodUAAAAI&#10;AQAADwAAAAAAAAABACAAAAAiAAAAZHJzL2Rvd25yZXYueG1sUEsBAhQAFAAAAAgAh07iQKqN5Pvm&#10;AQAA4AMAAA4AAAAAAAAAAQAgAAAAJAEAAGRycy9lMm9Eb2MueG1sUEsFBgAAAAAGAAYAWQEAAHwF&#10;AAAAAA==&#10;">
                      <v:fill on="f" focussize="0,0"/>
                      <v:stroke weight="0.5pt" color="#000000" joinstyle="round"/>
                      <v:imagedata o:title=""/>
                      <o:lock v:ext="edit" aspectratio="f"/>
                    </v:line>
                  </w:pict>
                </mc:Fallback>
              </mc:AlternateContent>
            </w:r>
            <w:r>
              <w:rPr>
                <w:rFonts w:hint="eastAsia" w:ascii="宋体" w:hAnsi="宋体"/>
                <w:color w:val="auto"/>
                <w:sz w:val="24"/>
                <w:szCs w:val="24"/>
              </w:rPr>
              <mc:AlternateContent>
                <mc:Choice Requires="wps">
                  <w:drawing>
                    <wp:anchor distT="0" distB="0" distL="114300" distR="114300" simplePos="0" relativeHeight="251663360" behindDoc="0" locked="0" layoutInCell="1" allowOverlap="1">
                      <wp:simplePos x="0" y="0"/>
                      <wp:positionH relativeFrom="column">
                        <wp:posOffset>454660</wp:posOffset>
                      </wp:positionH>
                      <wp:positionV relativeFrom="paragraph">
                        <wp:posOffset>252730</wp:posOffset>
                      </wp:positionV>
                      <wp:extent cx="190500" cy="166370"/>
                      <wp:effectExtent l="0" t="0" r="0" b="0"/>
                      <wp:wrapNone/>
                      <wp:docPr id="5" name="__TH_B2215"/>
                      <wp:cNvGraphicFramePr/>
                      <a:graphic xmlns:a="http://schemas.openxmlformats.org/drawingml/2006/main">
                        <a:graphicData uri="http://schemas.microsoft.com/office/word/2010/wordprocessingShape">
                          <wps:wsp>
                            <wps:cNvSpPr txBox="1"/>
                            <wps:spPr>
                              <a:xfrm>
                                <a:off x="0" y="0"/>
                                <a:ext cx="190500" cy="166370"/>
                              </a:xfrm>
                              <a:prstGeom prst="rect">
                                <a:avLst/>
                              </a:prstGeom>
                              <a:noFill/>
                              <a:ln>
                                <a:noFill/>
                              </a:ln>
                            </wps:spPr>
                            <wps:txbx>
                              <w:txbxContent>
                                <w:p>
                                  <w:pPr>
                                    <w:snapToGrid w:val="0"/>
                                    <w:rPr>
                                      <w:color w:val="000000"/>
                                    </w:rPr>
                                  </w:pPr>
                                  <w:r>
                                    <w:rPr>
                                      <w:rFonts w:hint="eastAsia"/>
                                      <w:color w:val="000000"/>
                                    </w:rPr>
                                    <w:t>目</w:t>
                                  </w:r>
                                </w:p>
                              </w:txbxContent>
                            </wps:txbx>
                            <wps:bodyPr lIns="0" tIns="0" rIns="0" bIns="0" upright="1"/>
                          </wps:wsp>
                        </a:graphicData>
                      </a:graphic>
                    </wp:anchor>
                  </w:drawing>
                </mc:Choice>
                <mc:Fallback>
                  <w:pict>
                    <v:shape id="__TH_B2215" o:spid="_x0000_s1026" o:spt="202" type="#_x0000_t202" style="position:absolute;left:0pt;margin-left:35.8pt;margin-top:19.9pt;height:13.1pt;width:15pt;z-index:251663360;mso-width-relative:page;mso-height-relative:page;" filled="f" stroked="f" coordsize="21600,21600" o:gfxdata="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mXaafVAAAA&#10;CAEAAA8AAAAAAAAAAQAgAAAAIgAAAGRycy9kb3ducmV2LnhtbFBLAQIUABQAAAAIAIdO4kDJXa0T&#10;rgEAAHADAAAOAAAAAAAAAAEAIAAAACQBAABkcnMvZTJvRG9jLnhtbFBLBQYAAAAABgAGAFkBAABE&#10;BQAAAAA=&#10;">
                      <v:fill on="f" focussize="0,0"/>
                      <v:stroke on="f"/>
                      <v:imagedata o:title=""/>
                      <o:lock v:ext="edit" aspectratio="f"/>
                      <v:textbox inset="0mm,0mm,0mm,0mm">
                        <w:txbxContent>
                          <w:p>
                            <w:pPr>
                              <w:snapToGrid w:val="0"/>
                              <w:rPr>
                                <w:color w:val="000000"/>
                              </w:rPr>
                            </w:pPr>
                            <w:r>
                              <w:rPr>
                                <w:rFonts w:hint="eastAsia"/>
                                <w:color w:val="000000"/>
                              </w:rPr>
                              <w:t>目</w:t>
                            </w:r>
                          </w:p>
                        </w:txbxContent>
                      </v:textbox>
                    </v:shape>
                  </w:pict>
                </mc:Fallback>
              </mc:AlternateContent>
            </w:r>
            <w:r>
              <w:rPr>
                <w:rFonts w:hint="eastAsia" w:ascii="宋体" w:hAnsi="宋体"/>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808355</wp:posOffset>
                      </wp:positionH>
                      <wp:positionV relativeFrom="paragraph">
                        <wp:posOffset>85725</wp:posOffset>
                      </wp:positionV>
                      <wp:extent cx="189865" cy="167005"/>
                      <wp:effectExtent l="0" t="0" r="0" b="0"/>
                      <wp:wrapNone/>
                      <wp:docPr id="3" name="__TH_B1213"/>
                      <wp:cNvGraphicFramePr/>
                      <a:graphic xmlns:a="http://schemas.openxmlformats.org/drawingml/2006/main">
                        <a:graphicData uri="http://schemas.microsoft.com/office/word/2010/wordprocessingShape">
                          <wps:wsp>
                            <wps:cNvSpPr txBox="1"/>
                            <wps:spPr>
                              <a:xfrm>
                                <a:off x="0" y="0"/>
                                <a:ext cx="189865" cy="167005"/>
                              </a:xfrm>
                              <a:prstGeom prst="rect">
                                <a:avLst/>
                              </a:prstGeom>
                              <a:noFill/>
                              <a:ln>
                                <a:noFill/>
                              </a:ln>
                            </wps:spPr>
                            <wps:txbx>
                              <w:txbxContent>
                                <w:p>
                                  <w:pPr>
                                    <w:snapToGrid w:val="0"/>
                                    <w:rPr>
                                      <w:color w:val="000000"/>
                                    </w:rPr>
                                  </w:pPr>
                                  <w:r>
                                    <w:rPr>
                                      <w:rFonts w:hint="eastAsia"/>
                                      <w:color w:val="000000"/>
                                    </w:rPr>
                                    <w:t>份</w:t>
                                  </w:r>
                                </w:p>
                              </w:txbxContent>
                            </wps:txbx>
                            <wps:bodyPr lIns="0" tIns="0" rIns="0" bIns="0" upright="1"/>
                          </wps:wsp>
                        </a:graphicData>
                      </a:graphic>
                    </wp:anchor>
                  </w:drawing>
                </mc:Choice>
                <mc:Fallback>
                  <w:pict>
                    <v:shape id="__TH_B1213" o:spid="_x0000_s1026" o:spt="202" type="#_x0000_t202" style="position:absolute;left:0pt;margin-left:63.65pt;margin-top:6.75pt;height:13.15pt;width:14.95pt;z-index:251661312;mso-width-relative:page;mso-height-relative:page;" filled="f" stroked="f" coordsize="21600,21600" o:gfxdata="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ItjdF&#10;2AAAAAkBAAAPAAAAAAAAAAEAIAAAACIAAABkcnMvZG93bnJldi54bWxQSwECFAAUAAAACACHTuJA&#10;Qq3oeK8BAABwAwAADgAAAAAAAAABACAAAAAnAQAAZHJzL2Uyb0RvYy54bWxQSwUGAAAAAAYABgBZ&#10;AQAASAUAAAAA&#10;">
                      <v:fill on="f" focussize="0,0"/>
                      <v:stroke on="f"/>
                      <v:imagedata o:title=""/>
                      <o:lock v:ext="edit" aspectratio="f"/>
                      <v:textbox inset="0mm,0mm,0mm,0mm">
                        <w:txbxContent>
                          <w:p>
                            <w:pPr>
                              <w:snapToGrid w:val="0"/>
                              <w:rPr>
                                <w:color w:val="000000"/>
                              </w:rPr>
                            </w:pPr>
                            <w:r>
                              <w:rPr>
                                <w:rFonts w:hint="eastAsia"/>
                                <w:color w:val="000000"/>
                              </w:rPr>
                              <w:t>份</w:t>
                            </w:r>
                          </w:p>
                        </w:txbxContent>
                      </v:textbox>
                    </v:shape>
                  </w:pict>
                </mc:Fallback>
              </mc:AlternateContent>
            </w:r>
            <w:r>
              <w:rPr>
                <w:rFonts w:hint="eastAsia" w:ascii="宋体" w:hAnsi="宋体"/>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191770</wp:posOffset>
                      </wp:positionV>
                      <wp:extent cx="190500" cy="167005"/>
                      <wp:effectExtent l="0" t="0" r="0" b="0"/>
                      <wp:wrapNone/>
                      <wp:docPr id="4" name="__TH_B2114"/>
                      <wp:cNvGraphicFramePr/>
                      <a:graphic xmlns:a="http://schemas.openxmlformats.org/drawingml/2006/main">
                        <a:graphicData uri="http://schemas.microsoft.com/office/word/2010/wordprocessingShape">
                          <wps:wsp>
                            <wps:cNvSpPr txBox="1"/>
                            <wps:spPr>
                              <a:xfrm>
                                <a:off x="0" y="0"/>
                                <a:ext cx="190500" cy="167005"/>
                              </a:xfrm>
                              <a:prstGeom prst="rect">
                                <a:avLst/>
                              </a:prstGeom>
                              <a:noFill/>
                              <a:ln>
                                <a:noFill/>
                              </a:ln>
                            </wps:spPr>
                            <wps:txbx>
                              <w:txbxContent>
                                <w:p>
                                  <w:pPr>
                                    <w:snapToGrid w:val="0"/>
                                    <w:rPr>
                                      <w:color w:val="000000"/>
                                    </w:rPr>
                                  </w:pPr>
                                  <w:r>
                                    <w:rPr>
                                      <w:rFonts w:hint="eastAsia"/>
                                      <w:color w:val="000000"/>
                                    </w:rPr>
                                    <w:t>项</w:t>
                                  </w:r>
                                </w:p>
                              </w:txbxContent>
                            </wps:txbx>
                            <wps:bodyPr lIns="0" tIns="0" rIns="0" bIns="0" upright="1"/>
                          </wps:wsp>
                        </a:graphicData>
                      </a:graphic>
                    </wp:anchor>
                  </w:drawing>
                </mc:Choice>
                <mc:Fallback>
                  <w:pict>
                    <v:shape id="__TH_B2114" o:spid="_x0000_s1026" o:spt="202" type="#_x0000_t202" style="position:absolute;left:0pt;margin-left:4pt;margin-top:15.1pt;height:13.15pt;width:15pt;z-index:251662336;mso-width-relative:page;mso-height-relative:page;" filled="f" stroked="f" coordsize="21600,21600" o:gfxdata="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8jfv9UAAAAG&#10;AQAADwAAAAAAAAABACAAAAAiAAAAZHJzL2Rvd25yZXYueG1sUEsBAhQAFAAAAAgAh07iQDiHhbWt&#10;AQAAcAMAAA4AAAAAAAAAAQAgAAAAJAEAAGRycy9lMm9Eb2MueG1sUEsFBgAAAAAGAAYAWQEAAEMF&#10;AAAAAA==&#10;">
                      <v:fill on="f" focussize="0,0"/>
                      <v:stroke on="f"/>
                      <v:imagedata o:title=""/>
                      <o:lock v:ext="edit" aspectratio="f"/>
                      <v:textbox inset="0mm,0mm,0mm,0mm">
                        <w:txbxContent>
                          <w:p>
                            <w:pPr>
                              <w:snapToGrid w:val="0"/>
                              <w:rPr>
                                <w:color w:val="000000"/>
                              </w:rPr>
                            </w:pPr>
                            <w:r>
                              <w:rPr>
                                <w:rFonts w:hint="eastAsia"/>
                                <w:color w:val="000000"/>
                              </w:rPr>
                              <w:t>项</w:t>
                            </w:r>
                          </w:p>
                        </w:txbxContent>
                      </v:textbox>
                    </v:shape>
                  </w:pict>
                </mc:Fallback>
              </mc:AlternateContent>
            </w:r>
            <w:r>
              <w:rPr>
                <w:rFonts w:hint="eastAsia" w:ascii="宋体" w:hAnsi="宋体"/>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455295</wp:posOffset>
                      </wp:positionH>
                      <wp:positionV relativeFrom="paragraph">
                        <wp:posOffset>25400</wp:posOffset>
                      </wp:positionV>
                      <wp:extent cx="189865" cy="166370"/>
                      <wp:effectExtent l="0" t="0" r="0" b="0"/>
                      <wp:wrapNone/>
                      <wp:docPr id="2" name="__TH_B1112"/>
                      <wp:cNvGraphicFramePr/>
                      <a:graphic xmlns:a="http://schemas.openxmlformats.org/drawingml/2006/main">
                        <a:graphicData uri="http://schemas.microsoft.com/office/word/2010/wordprocessingShape">
                          <wps:wsp>
                            <wps:cNvSpPr txBox="1"/>
                            <wps:spPr>
                              <a:xfrm>
                                <a:off x="0" y="0"/>
                                <a:ext cx="189865" cy="166370"/>
                              </a:xfrm>
                              <a:prstGeom prst="rect">
                                <a:avLst/>
                              </a:prstGeom>
                              <a:noFill/>
                              <a:ln>
                                <a:noFill/>
                              </a:ln>
                            </wps:spPr>
                            <wps:txbx>
                              <w:txbxContent>
                                <w:p>
                                  <w:pPr>
                                    <w:snapToGrid w:val="0"/>
                                    <w:rPr>
                                      <w:color w:val="000000"/>
                                    </w:rPr>
                                  </w:pPr>
                                  <w:r>
                                    <w:rPr>
                                      <w:rFonts w:hint="eastAsia"/>
                                      <w:color w:val="000000"/>
                                    </w:rPr>
                                    <w:t>年份</w:t>
                                  </w:r>
                                </w:p>
                              </w:txbxContent>
                            </wps:txbx>
                            <wps:bodyPr lIns="0" tIns="0" rIns="0" bIns="0" upright="1"/>
                          </wps:wsp>
                        </a:graphicData>
                      </a:graphic>
                    </wp:anchor>
                  </w:drawing>
                </mc:Choice>
                <mc:Fallback>
                  <w:pict>
                    <v:shape id="__TH_B1112" o:spid="_x0000_s1026" o:spt="202" type="#_x0000_t202" style="position:absolute;left:0pt;margin-left:35.85pt;margin-top:2pt;height:13.1pt;width:14.95pt;z-index:251660288;mso-width-relative:page;mso-height-relative:page;" filled="f" stroked="f" coordsize="21600,21600" o:gfxdata="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EPNfVAAAA&#10;BwEAAA8AAAAAAAAAAQAgAAAAIgAAAGRycy9kb3ducmV2LnhtbFBLAQIUABQAAAAIAIdO4kCzd8De&#10;rgEAAHADAAAOAAAAAAAAAAEAIAAAACQBAABkcnMvZTJvRG9jLnhtbFBLBQYAAAAABgAGAFkBAABE&#10;BQAAAAA=&#10;">
                      <v:fill on="f" focussize="0,0"/>
                      <v:stroke on="f"/>
                      <v:imagedata o:title=""/>
                      <o:lock v:ext="edit" aspectratio="f"/>
                      <v:textbox inset="0mm,0mm,0mm,0mm">
                        <w:txbxContent>
                          <w:p>
                            <w:pPr>
                              <w:snapToGrid w:val="0"/>
                              <w:rPr>
                                <w:color w:val="000000"/>
                              </w:rPr>
                            </w:pPr>
                            <w:r>
                              <w:rPr>
                                <w:rFonts w:hint="eastAsia"/>
                                <w:color w:val="000000"/>
                              </w:rPr>
                              <w:t>年份</w:t>
                            </w:r>
                          </w:p>
                        </w:txbxContent>
                      </v:textbox>
                    </v:shape>
                  </w:pict>
                </mc:Fallback>
              </mc:AlternateContent>
            </w:r>
          </w:p>
        </w:tc>
        <w:tc>
          <w:tcPr>
            <w:tcW w:w="1920" w:type="dxa"/>
            <w:noWrap w:val="0"/>
            <w:vAlign w:val="top"/>
          </w:tcPr>
          <w:p>
            <w:pPr>
              <w:spacing w:line="520" w:lineRule="exact"/>
              <w:jc w:val="center"/>
              <w:rPr>
                <w:rFonts w:hint="eastAsia" w:ascii="宋体" w:hAnsi="宋体"/>
                <w:color w:val="auto"/>
                <w:sz w:val="24"/>
                <w:szCs w:val="24"/>
              </w:rPr>
            </w:pPr>
            <w:r>
              <w:rPr>
                <w:rFonts w:hint="eastAsia" w:ascii="宋体" w:hAnsi="宋体"/>
                <w:color w:val="auto"/>
                <w:sz w:val="24"/>
                <w:szCs w:val="24"/>
                <w:lang w:val="en-US" w:eastAsia="zh-CN"/>
              </w:rPr>
              <w:t>2021年</w:t>
            </w:r>
          </w:p>
        </w:tc>
        <w:tc>
          <w:tcPr>
            <w:tcW w:w="1920" w:type="dxa"/>
            <w:noWrap w:val="0"/>
            <w:vAlign w:val="top"/>
          </w:tcPr>
          <w:p>
            <w:pPr>
              <w:spacing w:line="520" w:lineRule="exact"/>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2022年</w:t>
            </w:r>
          </w:p>
        </w:tc>
        <w:tc>
          <w:tcPr>
            <w:tcW w:w="1920" w:type="dxa"/>
            <w:noWrap w:val="0"/>
            <w:vAlign w:val="top"/>
          </w:tcPr>
          <w:p>
            <w:pPr>
              <w:spacing w:line="520" w:lineRule="exact"/>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2023年1-10月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noWrap w:val="0"/>
            <w:vAlign w:val="top"/>
          </w:tcPr>
          <w:p>
            <w:pPr>
              <w:spacing w:line="520" w:lineRule="exact"/>
              <w:rPr>
                <w:rFonts w:hint="eastAsia" w:ascii="宋体" w:hAnsi="宋体"/>
                <w:color w:val="auto"/>
                <w:sz w:val="24"/>
                <w:szCs w:val="24"/>
              </w:rPr>
            </w:pPr>
            <w:r>
              <w:rPr>
                <w:rFonts w:hint="eastAsia" w:ascii="宋体" w:hAnsi="宋体"/>
                <w:color w:val="auto"/>
                <w:sz w:val="24"/>
                <w:szCs w:val="24"/>
              </w:rPr>
              <w:t>总资产</w:t>
            </w:r>
          </w:p>
        </w:tc>
        <w:tc>
          <w:tcPr>
            <w:tcW w:w="1920" w:type="dxa"/>
            <w:noWrap w:val="0"/>
            <w:vAlign w:val="top"/>
          </w:tcPr>
          <w:p>
            <w:pPr>
              <w:spacing w:line="520" w:lineRule="exact"/>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39176.57</w:t>
            </w:r>
          </w:p>
        </w:tc>
        <w:tc>
          <w:tcPr>
            <w:tcW w:w="1920" w:type="dxa"/>
            <w:noWrap w:val="0"/>
            <w:vAlign w:val="top"/>
          </w:tcPr>
          <w:p>
            <w:pPr>
              <w:spacing w:line="5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38268.46</w:t>
            </w:r>
          </w:p>
        </w:tc>
        <w:tc>
          <w:tcPr>
            <w:tcW w:w="1920" w:type="dxa"/>
            <w:noWrap w:val="0"/>
            <w:vAlign w:val="top"/>
          </w:tcPr>
          <w:p>
            <w:pPr>
              <w:spacing w:line="5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38003.50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noWrap w:val="0"/>
            <w:vAlign w:val="top"/>
          </w:tcPr>
          <w:p>
            <w:pPr>
              <w:spacing w:line="520" w:lineRule="exact"/>
              <w:rPr>
                <w:rFonts w:hint="eastAsia" w:ascii="宋体" w:hAnsi="宋体"/>
                <w:color w:val="auto"/>
                <w:sz w:val="24"/>
                <w:szCs w:val="24"/>
              </w:rPr>
            </w:pPr>
            <w:r>
              <w:rPr>
                <w:rFonts w:hint="eastAsia" w:ascii="宋体" w:hAnsi="宋体"/>
                <w:color w:val="auto"/>
                <w:sz w:val="24"/>
                <w:szCs w:val="24"/>
              </w:rPr>
              <w:t>总负债</w:t>
            </w:r>
          </w:p>
        </w:tc>
        <w:tc>
          <w:tcPr>
            <w:tcW w:w="1920" w:type="dxa"/>
            <w:noWrap w:val="0"/>
            <w:vAlign w:val="top"/>
          </w:tcPr>
          <w:p>
            <w:pPr>
              <w:spacing w:line="520" w:lineRule="exact"/>
              <w:jc w:val="center"/>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16506.00</w:t>
            </w:r>
          </w:p>
        </w:tc>
        <w:tc>
          <w:tcPr>
            <w:tcW w:w="1920" w:type="dxa"/>
            <w:noWrap w:val="0"/>
            <w:vAlign w:val="top"/>
          </w:tcPr>
          <w:p>
            <w:pPr>
              <w:spacing w:line="520" w:lineRule="exact"/>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15266.20</w:t>
            </w:r>
          </w:p>
        </w:tc>
        <w:tc>
          <w:tcPr>
            <w:tcW w:w="1920" w:type="dxa"/>
            <w:noWrap w:val="0"/>
            <w:vAlign w:val="top"/>
          </w:tcPr>
          <w:p>
            <w:pPr>
              <w:spacing w:line="520" w:lineRule="exact"/>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23112.10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noWrap w:val="0"/>
            <w:vAlign w:val="top"/>
          </w:tcPr>
          <w:p>
            <w:pPr>
              <w:spacing w:line="520" w:lineRule="exact"/>
              <w:rPr>
                <w:rFonts w:hint="eastAsia" w:ascii="宋体" w:hAnsi="宋体"/>
                <w:color w:val="auto"/>
                <w:sz w:val="24"/>
                <w:szCs w:val="24"/>
              </w:rPr>
            </w:pPr>
            <w:r>
              <w:rPr>
                <w:rFonts w:hint="eastAsia" w:ascii="宋体" w:hAnsi="宋体"/>
                <w:color w:val="auto"/>
                <w:sz w:val="24"/>
                <w:szCs w:val="24"/>
              </w:rPr>
              <w:t>净资产</w:t>
            </w:r>
          </w:p>
        </w:tc>
        <w:tc>
          <w:tcPr>
            <w:tcW w:w="1920" w:type="dxa"/>
            <w:noWrap w:val="0"/>
            <w:vAlign w:val="top"/>
          </w:tcPr>
          <w:p>
            <w:pPr>
              <w:spacing w:line="520" w:lineRule="exact"/>
              <w:jc w:val="center"/>
              <w:rPr>
                <w:rFonts w:hint="eastAsia" w:ascii="宋体" w:hAnsi="宋体" w:eastAsia="宋体" w:cs="宋体"/>
                <w:color w:val="auto"/>
                <w:sz w:val="24"/>
                <w:szCs w:val="24"/>
              </w:rPr>
            </w:pPr>
            <w:r>
              <w:rPr>
                <w:rFonts w:hint="eastAsia" w:ascii="宋体" w:hAnsi="宋体" w:cs="宋体"/>
                <w:b w:val="0"/>
                <w:bCs w:val="0"/>
                <w:color w:val="auto"/>
                <w:sz w:val="24"/>
                <w:szCs w:val="24"/>
                <w:lang w:val="en-US" w:eastAsia="zh-CN"/>
              </w:rPr>
              <w:t>22670.57</w:t>
            </w:r>
          </w:p>
        </w:tc>
        <w:tc>
          <w:tcPr>
            <w:tcW w:w="1920" w:type="dxa"/>
            <w:noWrap w:val="0"/>
            <w:vAlign w:val="top"/>
          </w:tcPr>
          <w:p>
            <w:pPr>
              <w:spacing w:line="520" w:lineRule="exact"/>
              <w:jc w:val="center"/>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23002.26</w:t>
            </w:r>
          </w:p>
        </w:tc>
        <w:tc>
          <w:tcPr>
            <w:tcW w:w="1920" w:type="dxa"/>
            <w:noWrap w:val="0"/>
            <w:vAlign w:val="top"/>
          </w:tcPr>
          <w:p>
            <w:pPr>
              <w:spacing w:line="520" w:lineRule="exact"/>
              <w:jc w:val="center"/>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14891.40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noWrap w:val="0"/>
            <w:vAlign w:val="top"/>
          </w:tcPr>
          <w:p>
            <w:pPr>
              <w:spacing w:line="520" w:lineRule="exact"/>
              <w:rPr>
                <w:rFonts w:hint="eastAsia" w:ascii="宋体" w:hAnsi="宋体"/>
                <w:color w:val="auto"/>
                <w:sz w:val="24"/>
                <w:szCs w:val="24"/>
              </w:rPr>
            </w:pPr>
            <w:r>
              <w:rPr>
                <w:rFonts w:hint="eastAsia" w:ascii="宋体" w:hAnsi="宋体"/>
                <w:color w:val="auto"/>
                <w:sz w:val="24"/>
                <w:szCs w:val="24"/>
              </w:rPr>
              <w:t>营业收入</w:t>
            </w:r>
          </w:p>
        </w:tc>
        <w:tc>
          <w:tcPr>
            <w:tcW w:w="1920" w:type="dxa"/>
            <w:noWrap w:val="0"/>
            <w:vAlign w:val="top"/>
          </w:tcPr>
          <w:p>
            <w:pPr>
              <w:spacing w:line="520" w:lineRule="exact"/>
              <w:jc w:val="center"/>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4834.75</w:t>
            </w:r>
          </w:p>
        </w:tc>
        <w:tc>
          <w:tcPr>
            <w:tcW w:w="1920" w:type="dxa"/>
            <w:noWrap w:val="0"/>
            <w:vAlign w:val="top"/>
          </w:tcPr>
          <w:p>
            <w:pPr>
              <w:spacing w:line="520" w:lineRule="exact"/>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4806</w:t>
            </w:r>
          </w:p>
        </w:tc>
        <w:tc>
          <w:tcPr>
            <w:tcW w:w="1920" w:type="dxa"/>
            <w:noWrap w:val="0"/>
            <w:vAlign w:val="top"/>
          </w:tcPr>
          <w:p>
            <w:pPr>
              <w:spacing w:line="520" w:lineRule="exact"/>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3615.96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noWrap w:val="0"/>
            <w:vAlign w:val="top"/>
          </w:tcPr>
          <w:p>
            <w:pPr>
              <w:spacing w:line="520" w:lineRule="exact"/>
              <w:rPr>
                <w:rFonts w:hint="eastAsia" w:ascii="宋体" w:hAnsi="宋体"/>
                <w:color w:val="auto"/>
                <w:sz w:val="24"/>
                <w:szCs w:val="24"/>
              </w:rPr>
            </w:pPr>
            <w:r>
              <w:rPr>
                <w:rFonts w:hint="eastAsia" w:ascii="宋体" w:hAnsi="宋体"/>
                <w:color w:val="auto"/>
                <w:sz w:val="24"/>
                <w:szCs w:val="24"/>
              </w:rPr>
              <w:t>净利润</w:t>
            </w:r>
          </w:p>
        </w:tc>
        <w:tc>
          <w:tcPr>
            <w:tcW w:w="1920" w:type="dxa"/>
            <w:noWrap w:val="0"/>
            <w:vAlign w:val="top"/>
          </w:tcPr>
          <w:p>
            <w:pPr>
              <w:spacing w:line="520" w:lineRule="exact"/>
              <w:jc w:val="center"/>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398.54</w:t>
            </w:r>
          </w:p>
        </w:tc>
        <w:tc>
          <w:tcPr>
            <w:tcW w:w="1920" w:type="dxa"/>
            <w:noWrap w:val="0"/>
            <w:vAlign w:val="top"/>
          </w:tcPr>
          <w:p>
            <w:pPr>
              <w:spacing w:line="520" w:lineRule="exact"/>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331.69</w:t>
            </w:r>
          </w:p>
        </w:tc>
        <w:tc>
          <w:tcPr>
            <w:tcW w:w="1920" w:type="dxa"/>
            <w:noWrap w:val="0"/>
            <w:vAlign w:val="top"/>
          </w:tcPr>
          <w:p>
            <w:pPr>
              <w:spacing w:line="520" w:lineRule="exact"/>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290.06</w:t>
            </w:r>
          </w:p>
        </w:tc>
      </w:tr>
    </w:tbl>
    <w:p>
      <w:pPr>
        <w:pStyle w:val="9"/>
        <w:shd w:val="clear" w:color="auto" w:fill="FFFFFF"/>
        <w:spacing w:line="52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备注：上述表格中的财务数据为转让方提供的标的公司财务数据，其中2023年数据暂未审计。</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111111"/>
          <w:sz w:val="24"/>
        </w:rPr>
        <w:t>经评估，截至评</w:t>
      </w:r>
      <w:r>
        <w:rPr>
          <w:rFonts w:hint="eastAsia" w:asciiTheme="minorEastAsia" w:hAnsiTheme="minorEastAsia" w:eastAsiaTheme="minorEastAsia" w:cstheme="minorEastAsia"/>
          <w:color w:val="auto"/>
          <w:sz w:val="24"/>
        </w:rPr>
        <w:t>估基准日202</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lang w:val="en-US" w:eastAsia="zh-CN"/>
        </w:rPr>
        <w:t>12</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lang w:val="en-US" w:eastAsia="zh-CN"/>
        </w:rPr>
        <w:t>31</w:t>
      </w:r>
      <w:r>
        <w:rPr>
          <w:rFonts w:hint="eastAsia" w:asciiTheme="minorEastAsia" w:hAnsiTheme="minorEastAsia" w:eastAsiaTheme="minorEastAsia" w:cstheme="minorEastAsia"/>
          <w:color w:val="auto"/>
          <w:sz w:val="24"/>
        </w:rPr>
        <w:t>日，标的公司净资产评估价值为</w:t>
      </w:r>
      <w:r>
        <w:rPr>
          <w:rFonts w:hint="eastAsia" w:asciiTheme="minorEastAsia" w:hAnsiTheme="minorEastAsia" w:eastAsiaTheme="minorEastAsia" w:cstheme="minorEastAsia"/>
          <w:color w:val="auto"/>
          <w:sz w:val="24"/>
          <w:lang w:val="en-US" w:eastAsia="zh-CN"/>
        </w:rPr>
        <w:t>32043.49万元</w:t>
      </w:r>
      <w:r>
        <w:rPr>
          <w:rFonts w:hint="eastAsia" w:asciiTheme="minorEastAsia" w:hAnsiTheme="minorEastAsia" w:eastAsiaTheme="minorEastAsia" w:cstheme="minorEastAsia"/>
          <w:color w:val="auto"/>
          <w:sz w:val="24"/>
        </w:rPr>
        <w:t>。本次转让为</w:t>
      </w:r>
      <w:r>
        <w:rPr>
          <w:rFonts w:hint="eastAsia" w:asciiTheme="minorEastAsia" w:hAnsiTheme="minorEastAsia" w:eastAsiaTheme="minorEastAsia" w:cstheme="minorEastAsia"/>
          <w:color w:val="000000"/>
          <w:sz w:val="24"/>
          <w:szCs w:val="24"/>
          <w:lang w:eastAsia="zh-CN"/>
        </w:rPr>
        <w:t>龙岩交发置业集团有限公司持有</w:t>
      </w:r>
      <w:r>
        <w:rPr>
          <w:rFonts w:hint="eastAsia" w:asciiTheme="minorEastAsia" w:hAnsiTheme="minorEastAsia" w:eastAsiaTheme="minorEastAsia" w:cstheme="minorEastAsia"/>
          <w:color w:val="auto"/>
          <w:sz w:val="24"/>
          <w:szCs w:val="24"/>
          <w:u w:val="none"/>
          <w:lang w:val="en-US" w:eastAsia="zh-CN"/>
        </w:rPr>
        <w:t>标的公司5%股权</w:t>
      </w:r>
      <w:r>
        <w:rPr>
          <w:rFonts w:hint="eastAsia" w:asciiTheme="minorEastAsia" w:hAnsiTheme="minorEastAsia" w:eastAsiaTheme="minorEastAsia" w:cstheme="minorEastAsia"/>
          <w:color w:val="auto"/>
          <w:sz w:val="24"/>
        </w:rPr>
        <w:t>。</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4.标的基本情况</w:t>
      </w:r>
      <w:r>
        <w:rPr>
          <w:rFonts w:hint="eastAsia" w:cs="Times New Roman" w:asciiTheme="minorEastAsia" w:hAnsiTheme="minorEastAsia" w:eastAsiaTheme="minorEastAsia"/>
          <w:color w:val="000000" w:themeColor="text1"/>
          <w:sz w:val="24"/>
          <w14:textFill>
            <w14:solidFill>
              <w14:schemeClr w14:val="tx1"/>
            </w14:solidFill>
          </w14:textFill>
        </w:rPr>
        <w:t>详见</w:t>
      </w:r>
      <w:r>
        <w:rPr>
          <w:rFonts w:hint="eastAsia" w:cs="Times New Roman" w:asciiTheme="minorEastAsia" w:hAnsiTheme="minorEastAsia" w:eastAsiaTheme="minorEastAsia"/>
          <w:color w:val="000000" w:themeColor="text1"/>
          <w:sz w:val="24"/>
          <w:szCs w:val="24"/>
          <w:lang w:eastAsia="zh-CN"/>
          <w14:textFill>
            <w14:solidFill>
              <w14:schemeClr w14:val="tx1"/>
            </w14:solidFill>
          </w14:textFill>
        </w:rPr>
        <w:t>辰星所【202</w:t>
      </w:r>
      <w: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t>3</w:t>
      </w:r>
      <w:r>
        <w:rPr>
          <w:rFonts w:hint="eastAsia" w:cs="Times New Roman" w:asciiTheme="minorEastAsia" w:hAnsiTheme="minorEastAsia" w:eastAsiaTheme="minorEastAsia"/>
          <w:color w:val="000000" w:themeColor="text1"/>
          <w:sz w:val="24"/>
          <w:szCs w:val="24"/>
          <w:lang w:eastAsia="zh-CN"/>
          <w14:textFill>
            <w14:solidFill>
              <w14:schemeClr w14:val="tx1"/>
            </w14:solidFill>
          </w14:textFill>
        </w:rPr>
        <w:t>】专审字第</w:t>
      </w:r>
      <w: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t>06</w:t>
      </w:r>
      <w:r>
        <w:rPr>
          <w:rFonts w:hint="eastAsia" w:cs="Times New Roman" w:asciiTheme="minorEastAsia" w:hAnsiTheme="minorEastAsia" w:eastAsiaTheme="minorEastAsia"/>
          <w:color w:val="000000" w:themeColor="text1"/>
          <w:sz w:val="24"/>
          <w:szCs w:val="24"/>
          <w:lang w:eastAsia="zh-CN"/>
          <w14:textFill>
            <w14:solidFill>
              <w14:schemeClr w14:val="tx1"/>
            </w14:solidFill>
          </w14:textFill>
        </w:rPr>
        <w:t>6号</w:t>
      </w:r>
      <w:r>
        <w:rPr>
          <w:rFonts w:hint="eastAsia" w:cs="Times New Roman" w:asciiTheme="minorEastAsia" w:hAnsiTheme="minorEastAsia" w:eastAsiaTheme="minorEastAsia"/>
          <w:color w:val="000000" w:themeColor="text1"/>
          <w:sz w:val="24"/>
          <w:szCs w:val="24"/>
          <w14:textFill>
            <w14:solidFill>
              <w14:schemeClr w14:val="tx1"/>
            </w14:solidFill>
          </w14:textFill>
        </w:rPr>
        <w:t>《审计报告》和</w:t>
      </w:r>
      <w:r>
        <w:rPr>
          <w:rFonts w:hint="eastAsia" w:cs="Times New Roman" w:asciiTheme="minorEastAsia" w:hAnsiTheme="minorEastAsia" w:eastAsiaTheme="minorEastAsia"/>
          <w:color w:val="000000" w:themeColor="text1"/>
          <w:sz w:val="24"/>
          <w:szCs w:val="24"/>
          <w:lang w:eastAsia="zh-CN"/>
          <w14:textFill>
            <w14:solidFill>
              <w14:schemeClr w14:val="tx1"/>
            </w14:solidFill>
          </w14:textFill>
        </w:rPr>
        <w:t>岩泰评报</w:t>
      </w:r>
      <w:r>
        <w:rPr>
          <w:rFonts w:hint="eastAsia" w:cs="Times New Roman" w:asciiTheme="minorEastAsia" w:hAnsiTheme="minorEastAsia" w:eastAsiaTheme="minorEastAsia"/>
          <w:color w:val="000000" w:themeColor="text1"/>
          <w:sz w:val="24"/>
          <w:szCs w:val="24"/>
          <w14:textFill>
            <w14:solidFill>
              <w14:schemeClr w14:val="tx1"/>
            </w14:solidFill>
          </w14:textFill>
        </w:rPr>
        <w:t>字</w:t>
      </w:r>
      <w: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t>【</w:t>
      </w:r>
      <w:r>
        <w:rPr>
          <w:rFonts w:hint="eastAsia" w:cs="Times New Roman" w:asciiTheme="minorEastAsia" w:hAnsiTheme="minorEastAsia" w:eastAsiaTheme="minorEastAsia"/>
          <w:color w:val="000000" w:themeColor="text1"/>
          <w:sz w:val="24"/>
          <w:szCs w:val="24"/>
          <w14:textFill>
            <w14:solidFill>
              <w14:schemeClr w14:val="tx1"/>
            </w14:solidFill>
          </w14:textFill>
        </w:rPr>
        <w:t>202</w:t>
      </w:r>
      <w: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t>3】</w:t>
      </w:r>
      <w:r>
        <w:rPr>
          <w:rFonts w:hint="eastAsia" w:cs="Times New Roman" w:asciiTheme="minorEastAsia" w:hAnsiTheme="minorEastAsia" w:eastAsiaTheme="minorEastAsia"/>
          <w:color w:val="000000" w:themeColor="text1"/>
          <w:sz w:val="24"/>
          <w:szCs w:val="24"/>
          <w14:textFill>
            <w14:solidFill>
              <w14:schemeClr w14:val="tx1"/>
            </w14:solidFill>
          </w14:textFill>
        </w:rPr>
        <w:t>第</w:t>
      </w:r>
      <w: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t>010</w:t>
      </w:r>
      <w:r>
        <w:rPr>
          <w:rFonts w:hint="eastAsia" w:cs="Times New Roman" w:asciiTheme="minorEastAsia" w:hAnsiTheme="minorEastAsia" w:eastAsiaTheme="minorEastAsia"/>
          <w:color w:val="000000" w:themeColor="text1"/>
          <w:sz w:val="24"/>
          <w:szCs w:val="24"/>
          <w14:textFill>
            <w14:solidFill>
              <w14:schemeClr w14:val="tx1"/>
            </w14:solidFill>
          </w14:textFill>
        </w:rPr>
        <w:t>号《评估报告</w:t>
      </w: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w:t>
      </w:r>
    </w:p>
    <w:p>
      <w:pPr>
        <w:spacing w:line="520" w:lineRule="exac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五、产权转让行为批准情况</w:t>
      </w:r>
    </w:p>
    <w:p>
      <w:pPr>
        <w:pStyle w:val="9"/>
        <w:shd w:val="clear" w:color="auto" w:fill="FFFFFF"/>
        <w:spacing w:before="0" w:beforeAutospacing="0" w:after="0" w:afterAutospacing="0" w:line="520" w:lineRule="exact"/>
        <w:ind w:firstLine="480" w:firstLineChars="200"/>
        <w:rPr>
          <w:rFonts w:hint="eastAsia"/>
          <w:color w:val="111111"/>
        </w:rPr>
      </w:pPr>
      <w:r>
        <w:rPr>
          <w:rFonts w:hint="eastAsia"/>
          <w:color w:val="111111"/>
        </w:rPr>
        <w:t>1.内部决策：</w:t>
      </w:r>
    </w:p>
    <w:p>
      <w:pPr>
        <w:pStyle w:val="9"/>
        <w:shd w:val="clear" w:color="auto" w:fill="FFFFFF"/>
        <w:spacing w:before="0" w:beforeAutospacing="0" w:after="0" w:afterAutospacing="0" w:line="520" w:lineRule="exact"/>
        <w:ind w:firstLine="480" w:firstLineChars="200"/>
        <w:rPr>
          <w:rFonts w:hint="eastAsia"/>
          <w:color w:val="000000"/>
        </w:rPr>
      </w:pPr>
      <w:r>
        <w:rPr>
          <w:rFonts w:hint="eastAsia"/>
          <w:color w:val="111111"/>
        </w:rPr>
        <w:t>（1）</w:t>
      </w:r>
      <w:r>
        <w:rPr>
          <w:rFonts w:hint="eastAsia"/>
          <w:color w:val="000000"/>
        </w:rPr>
        <w:t>202</w:t>
      </w:r>
      <w:r>
        <w:rPr>
          <w:rFonts w:hint="eastAsia"/>
          <w:color w:val="000000"/>
          <w:lang w:val="en-US" w:eastAsia="zh-CN"/>
        </w:rPr>
        <w:t>3</w:t>
      </w:r>
      <w:r>
        <w:rPr>
          <w:rFonts w:hint="eastAsia"/>
          <w:color w:val="000000"/>
        </w:rPr>
        <w:t>年</w:t>
      </w:r>
      <w:r>
        <w:rPr>
          <w:rFonts w:hint="eastAsia"/>
          <w:color w:val="000000"/>
          <w:lang w:val="en-US" w:eastAsia="zh-CN"/>
        </w:rPr>
        <w:t>12</w:t>
      </w:r>
      <w:r>
        <w:rPr>
          <w:rFonts w:hint="eastAsia"/>
          <w:color w:val="000000"/>
        </w:rPr>
        <w:t>月</w:t>
      </w:r>
      <w:r>
        <w:rPr>
          <w:rFonts w:hint="eastAsia"/>
          <w:color w:val="000000"/>
          <w:lang w:val="en-US" w:eastAsia="zh-CN"/>
        </w:rPr>
        <w:t>8</w:t>
      </w:r>
      <w:r>
        <w:rPr>
          <w:rFonts w:hint="eastAsia"/>
          <w:color w:val="000000"/>
        </w:rPr>
        <w:t>日</w:t>
      </w:r>
      <w:r>
        <w:rPr>
          <w:rFonts w:hint="eastAsia"/>
          <w:color w:val="000000"/>
          <w:lang w:val="en-US" w:eastAsia="zh-CN"/>
        </w:rPr>
        <w:t>龙岩交发置业集团有限公司董事会决议</w:t>
      </w:r>
      <w:r>
        <w:rPr>
          <w:rFonts w:hint="eastAsia"/>
          <w:color w:val="000000"/>
        </w:rPr>
        <w:t>同意公司转让持有</w:t>
      </w:r>
      <w:r>
        <w:rPr>
          <w:rFonts w:hint="eastAsia"/>
          <w:color w:val="000000"/>
          <w:lang w:val="en-US" w:eastAsia="zh-CN"/>
        </w:rPr>
        <w:t>的</w:t>
      </w:r>
      <w:r>
        <w:rPr>
          <w:rFonts w:hint="eastAsia"/>
          <w:sz w:val="24"/>
          <w:szCs w:val="24"/>
          <w:u w:val="none"/>
          <w:lang w:val="en-US" w:eastAsia="zh-CN"/>
        </w:rPr>
        <w:t>福建美嘉龙建材有限公司5%股权</w:t>
      </w:r>
      <w:r>
        <w:rPr>
          <w:rFonts w:hint="eastAsia"/>
          <w:color w:val="000000"/>
        </w:rPr>
        <w:t>；</w:t>
      </w:r>
    </w:p>
    <w:p>
      <w:pPr>
        <w:pStyle w:val="9"/>
        <w:shd w:val="clear" w:color="auto" w:fill="FFFFFF"/>
        <w:spacing w:before="0" w:beforeAutospacing="0" w:after="0" w:afterAutospacing="0" w:line="520" w:lineRule="exact"/>
        <w:ind w:firstLine="480" w:firstLineChars="200"/>
        <w:rPr>
          <w:color w:val="111111"/>
        </w:rPr>
      </w:pPr>
      <w:r>
        <w:rPr>
          <w:rFonts w:hint="eastAsia"/>
          <w:color w:val="000000"/>
        </w:rPr>
        <w:t>（2）202</w:t>
      </w:r>
      <w:r>
        <w:rPr>
          <w:rFonts w:hint="eastAsia"/>
          <w:color w:val="000000"/>
          <w:lang w:val="en-US" w:eastAsia="zh-CN"/>
        </w:rPr>
        <w:t>3</w:t>
      </w:r>
      <w:r>
        <w:rPr>
          <w:rFonts w:hint="eastAsia"/>
          <w:color w:val="000000"/>
        </w:rPr>
        <w:t>年</w:t>
      </w:r>
      <w:r>
        <w:rPr>
          <w:rFonts w:hint="eastAsia"/>
          <w:color w:val="000000"/>
          <w:lang w:val="en-US" w:eastAsia="zh-CN"/>
        </w:rPr>
        <w:t>4</w:t>
      </w:r>
      <w:r>
        <w:rPr>
          <w:rFonts w:hint="eastAsia"/>
          <w:color w:val="000000"/>
        </w:rPr>
        <w:t>月</w:t>
      </w:r>
      <w:r>
        <w:rPr>
          <w:rFonts w:hint="eastAsia"/>
          <w:color w:val="000000"/>
          <w:lang w:val="en-US" w:eastAsia="zh-CN"/>
        </w:rPr>
        <w:t>24</w:t>
      </w:r>
      <w:r>
        <w:rPr>
          <w:rFonts w:hint="eastAsia"/>
          <w:color w:val="000000"/>
        </w:rPr>
        <w:t>日</w:t>
      </w:r>
      <w:r>
        <w:rPr>
          <w:rFonts w:hint="eastAsia"/>
          <w:sz w:val="24"/>
          <w:szCs w:val="24"/>
          <w:u w:val="none"/>
          <w:lang w:val="en-US" w:eastAsia="zh-CN"/>
        </w:rPr>
        <w:t>福建美嘉龙建材有限公司</w:t>
      </w:r>
      <w:r>
        <w:rPr>
          <w:rFonts w:hint="eastAsia"/>
          <w:color w:val="000000"/>
          <w:lang w:eastAsia="zh-CN"/>
        </w:rPr>
        <w:t>股东</w:t>
      </w:r>
      <w:r>
        <w:rPr>
          <w:rFonts w:hint="eastAsia"/>
          <w:color w:val="000000"/>
        </w:rPr>
        <w:t>会决议同意龙岩交发置业集团有限公司转让持有</w:t>
      </w:r>
      <w:r>
        <w:rPr>
          <w:rFonts w:hint="eastAsia"/>
          <w:color w:val="000000"/>
          <w:lang w:val="en-US" w:eastAsia="zh-CN"/>
        </w:rPr>
        <w:t>的</w:t>
      </w:r>
      <w:r>
        <w:rPr>
          <w:rFonts w:hint="eastAsia"/>
          <w:sz w:val="24"/>
          <w:szCs w:val="24"/>
          <w:u w:val="none"/>
          <w:lang w:val="en-US" w:eastAsia="zh-CN"/>
        </w:rPr>
        <w:t>福建美嘉龙建材有限公司10</w:t>
      </w:r>
      <w:r>
        <w:rPr>
          <w:rFonts w:hint="eastAsia" w:ascii="宋体" w:hAnsi="宋体" w:eastAsia="宋体" w:cs="宋体"/>
          <w:sz w:val="24"/>
          <w:szCs w:val="24"/>
        </w:rPr>
        <w:t>%</w:t>
      </w:r>
      <w:r>
        <w:rPr>
          <w:rFonts w:hint="eastAsia"/>
          <w:sz w:val="24"/>
          <w:szCs w:val="24"/>
          <w:u w:val="none"/>
          <w:lang w:val="en-US" w:eastAsia="zh-CN"/>
        </w:rPr>
        <w:t>股权</w:t>
      </w:r>
      <w:r>
        <w:rPr>
          <w:rFonts w:hint="eastAsia"/>
          <w:color w:val="000000"/>
        </w:rPr>
        <w:t>。</w:t>
      </w:r>
    </w:p>
    <w:p>
      <w:pPr>
        <w:pStyle w:val="9"/>
        <w:shd w:val="clear" w:color="auto" w:fill="FFFFFF"/>
        <w:spacing w:before="0" w:beforeAutospacing="0" w:after="0" w:afterAutospacing="0" w:line="520" w:lineRule="exact"/>
        <w:ind w:firstLine="480" w:firstLineChars="200"/>
        <w:rPr>
          <w:rFonts w:hint="eastAsia"/>
          <w:color w:val="auto"/>
        </w:rPr>
      </w:pPr>
      <w:r>
        <w:rPr>
          <w:rFonts w:hint="eastAsia"/>
          <w:color w:val="111111"/>
        </w:rPr>
        <w:t>2.上级</w:t>
      </w:r>
      <w:r>
        <w:rPr>
          <w:rFonts w:hint="eastAsia"/>
          <w:color w:val="auto"/>
        </w:rPr>
        <w:t>批准：</w:t>
      </w:r>
    </w:p>
    <w:p>
      <w:pPr>
        <w:pStyle w:val="9"/>
        <w:shd w:val="clear" w:color="auto" w:fill="FFFFFF"/>
        <w:spacing w:before="0" w:beforeAutospacing="0" w:after="0" w:afterAutospacing="0" w:line="520" w:lineRule="exact"/>
        <w:ind w:firstLine="480" w:firstLineChars="200"/>
        <w:rPr>
          <w:rFonts w:hint="eastAsia" w:ascii="微软雅黑" w:hAnsi="微软雅黑" w:eastAsia="微软雅黑"/>
          <w:color w:val="111111"/>
          <w:sz w:val="21"/>
          <w:szCs w:val="21"/>
        </w:rPr>
      </w:pPr>
      <w:r>
        <w:rPr>
          <w:rFonts w:hint="eastAsia"/>
          <w:color w:val="auto"/>
        </w:rPr>
        <w:t>2023年12月25日龙岩交通发展集团有限公司总经理办公会纪要同意龙岩交发置业集团有限公司按照国有资产转让管理办法公开挂牌转让其持有的福建美嘉龙建材有限公司5%股权。</w:t>
      </w:r>
    </w:p>
    <w:p>
      <w:pPr>
        <w:pStyle w:val="9"/>
        <w:shd w:val="clear" w:color="auto" w:fill="FFFFFF"/>
        <w:spacing w:line="520" w:lineRule="exact"/>
        <w:ind w:firstLine="482"/>
        <w:rPr>
          <w:rFonts w:asciiTheme="minorEastAsia" w:hAnsiTheme="minorEastAsia" w:eastAsiaTheme="minorEastAsia"/>
          <w:b/>
          <w:bCs/>
        </w:rPr>
      </w:pPr>
      <w:r>
        <w:rPr>
          <w:rFonts w:hint="eastAsia" w:asciiTheme="minorEastAsia" w:hAnsiTheme="minorEastAsia" w:eastAsiaTheme="minorEastAsia"/>
          <w:b/>
          <w:bCs/>
        </w:rPr>
        <w:t>六、竞买人应具备的资格条件</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1.凡遵守中华人民共和国法律、法规、具有独立法人资格的国内外企业和具有完全民事行为能力的自然人均可参加竞买，</w:t>
      </w:r>
      <w:r>
        <w:rPr>
          <w:rFonts w:hint="eastAsia" w:asciiTheme="minorEastAsia" w:hAnsiTheme="minorEastAsia" w:eastAsiaTheme="minorEastAsia"/>
          <w:color w:val="auto"/>
          <w:sz w:val="24"/>
          <w:shd w:val="clear" w:color="auto" w:fill="FFFFFF"/>
        </w:rPr>
        <w:t>但已经被列入失信被执行人名单（截止报名时间）的除外。</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2.具有良好的财务状况和支付能力，具有良好的商业信用。</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3.此次转让接受联合体报名。</w:t>
      </w:r>
    </w:p>
    <w:p>
      <w:pPr>
        <w:spacing w:line="52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4.符合国家法律、行政法规规定的其他条件。</w:t>
      </w:r>
    </w:p>
    <w:p>
      <w:pPr>
        <w:pStyle w:val="9"/>
        <w:shd w:val="clear" w:color="auto" w:fill="FFFFFF"/>
        <w:spacing w:line="520" w:lineRule="exact"/>
        <w:ind w:firstLine="0" w:firstLineChars="0"/>
        <w:rPr>
          <w:rFonts w:asciiTheme="minorEastAsia" w:hAnsiTheme="minorEastAsia" w:eastAsiaTheme="minorEastAsia"/>
          <w:color w:val="111111"/>
        </w:rPr>
      </w:pPr>
      <w:r>
        <w:rPr>
          <w:rStyle w:val="13"/>
          <w:rFonts w:hint="eastAsia" w:asciiTheme="minorEastAsia" w:hAnsiTheme="minorEastAsia" w:eastAsiaTheme="minorEastAsia"/>
          <w:color w:val="111111"/>
        </w:rPr>
        <w:t>七、竞买人（受让方）应接受的主要交易条件</w:t>
      </w:r>
    </w:p>
    <w:p>
      <w:pPr>
        <w:pStyle w:val="9"/>
        <w:shd w:val="clear" w:color="auto" w:fill="FFFFFF"/>
        <w:spacing w:line="520" w:lineRule="exact"/>
        <w:rPr>
          <w:rFonts w:asciiTheme="minorEastAsia" w:hAnsiTheme="minorEastAsia" w:eastAsiaTheme="minorEastAsia"/>
          <w:color w:val="auto"/>
          <w:shd w:val="clear" w:color="auto" w:fill="auto"/>
        </w:rPr>
      </w:pPr>
      <w:r>
        <w:rPr>
          <w:rFonts w:hint="eastAsia" w:asciiTheme="minorEastAsia" w:hAnsiTheme="minorEastAsia" w:eastAsiaTheme="minorEastAsia"/>
          <w:color w:val="111111"/>
        </w:rPr>
        <w:t>1.</w:t>
      </w:r>
      <w:r>
        <w:rPr>
          <w:rFonts w:hint="eastAsia"/>
          <w:color w:val="111111"/>
        </w:rPr>
        <w:t>受让方必须在成交之日起5个工作日内签订《股权</w:t>
      </w:r>
      <w:r>
        <w:rPr>
          <w:rFonts w:hint="eastAsia" w:ascii="宋体" w:hAnsi="宋体" w:eastAsia="宋体" w:cs="宋体"/>
          <w:color w:val="111111"/>
        </w:rPr>
        <w:t>转让合同》</w:t>
      </w:r>
      <w:r>
        <w:rPr>
          <w:rFonts w:hint="eastAsia" w:ascii="宋体" w:hAnsi="宋体" w:eastAsia="宋体" w:cs="宋体"/>
          <w:color w:val="111111"/>
          <w:sz w:val="24"/>
          <w:szCs w:val="24"/>
          <w:lang w:val="en-US" w:eastAsia="zh-CN"/>
        </w:rPr>
        <w:t>，同时受让方同意在收到我司《成交确认书》当日授权我司将交易保证金450万元人民币转支付给委托方，抵扣部分股权转让款。委托方承诺在收到交易保证金之日起5个工作日内将450万元转至美嘉龙公司账户，用于抵扣5%股权对应的应缴未缴出资额。受让方自委托方将前述450万元转入美嘉龙公司账户之日起10个工作日内将剩余款项一次性转账支付给我司账户。我司按本合同的约定将剩余款项支付给委托方。</w:t>
      </w:r>
    </w:p>
    <w:p>
      <w:pPr>
        <w:pStyle w:val="9"/>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2.股权转让合同签订之日为股东权益交割日，股东权益交割日后</w:t>
      </w:r>
      <w:r>
        <w:rPr>
          <w:rFonts w:hint="eastAsia" w:asciiTheme="minorEastAsia" w:hAnsiTheme="minorEastAsia" w:eastAsiaTheme="minorEastAsia"/>
          <w:color w:val="111111"/>
          <w:lang w:val="en-US" w:eastAsia="zh-CN"/>
        </w:rPr>
        <w:t>委托方</w:t>
      </w:r>
      <w:r>
        <w:rPr>
          <w:rFonts w:hint="eastAsia" w:asciiTheme="minorEastAsia" w:hAnsiTheme="minorEastAsia" w:eastAsiaTheme="minorEastAsia"/>
          <w:color w:val="111111"/>
        </w:rPr>
        <w:t>在福建美嘉龙建材有限公司按股权对应享有的权利和应承担的义务，由买受方享有与承担。</w:t>
      </w:r>
    </w:p>
    <w:p>
      <w:pPr>
        <w:pStyle w:val="9"/>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3.标的公司债权债务由股权变更后的标的公司继续享有和承担。受让方按其所持有的股权比例承担相关的义务并享受相应的权利。</w:t>
      </w:r>
    </w:p>
    <w:p>
      <w:pPr>
        <w:pStyle w:val="9"/>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4.转让标的交易过程中涉及的有关税费，根据国家相关规定由转、受让方各自承担，若国家无明确规定的，由受让方承担。</w:t>
      </w:r>
    </w:p>
    <w:p>
      <w:pPr>
        <w:pStyle w:val="9"/>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5.标的企业职工由股权变更后标的企业全部承接，委托人不负责职工安置，不承担解除劳动关系经济补偿金。</w:t>
      </w:r>
    </w:p>
    <w:p>
      <w:pPr>
        <w:pStyle w:val="9"/>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6.标的企业其他原股东享有优先受让权。</w:t>
      </w:r>
    </w:p>
    <w:p>
      <w:pPr>
        <w:pStyle w:val="9"/>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7.其他交易条件以竞价文件和转、受让双方签订的《股权转让合同》为准。</w:t>
      </w:r>
    </w:p>
    <w:p>
      <w:pPr>
        <w:tabs>
          <w:tab w:val="right" w:pos="9638"/>
        </w:tabs>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八、竞买保证金</w:t>
      </w:r>
      <w:r>
        <w:rPr>
          <w:rFonts w:asciiTheme="minorEastAsia" w:hAnsiTheme="minorEastAsia" w:eastAsiaTheme="minorEastAsia"/>
          <w:b/>
          <w:bCs/>
          <w:sz w:val="24"/>
        </w:rPr>
        <w:tab/>
      </w:r>
    </w:p>
    <w:p>
      <w:pPr>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rPr>
        <w:t>1.</w:t>
      </w:r>
      <w:r>
        <w:rPr>
          <w:rFonts w:hint="eastAsia" w:asciiTheme="minorEastAsia" w:hAnsiTheme="minorEastAsia" w:eastAsiaTheme="minorEastAsia"/>
          <w:sz w:val="24"/>
          <w:szCs w:val="24"/>
        </w:rPr>
        <w:t>保证金人民币</w:t>
      </w:r>
      <w:r>
        <w:rPr>
          <w:rFonts w:hint="eastAsia" w:asciiTheme="minorEastAsia" w:hAnsiTheme="minorEastAsia" w:eastAsiaTheme="minorEastAsia"/>
          <w:sz w:val="24"/>
          <w:szCs w:val="24"/>
          <w:lang w:val="en-US" w:eastAsia="zh-CN"/>
        </w:rPr>
        <w:t>450</w:t>
      </w:r>
      <w:r>
        <w:rPr>
          <w:rFonts w:hint="eastAsia" w:asciiTheme="minorEastAsia" w:hAnsiTheme="minorEastAsia" w:eastAsiaTheme="minorEastAsia"/>
          <w:sz w:val="24"/>
          <w:szCs w:val="24"/>
        </w:rPr>
        <w:t>万元，竞买人必须</w:t>
      </w:r>
      <w:r>
        <w:rPr>
          <w:rFonts w:hint="eastAsia" w:asciiTheme="minorEastAsia" w:hAnsiTheme="minorEastAsia" w:eastAsiaTheme="minorEastAsia"/>
          <w:sz w:val="24"/>
          <w:szCs w:val="24"/>
          <w:lang w:eastAsia="zh-CN"/>
        </w:rPr>
        <w:t>于报名截止</w:t>
      </w:r>
      <w:r>
        <w:rPr>
          <w:rFonts w:hint="eastAsia" w:asciiTheme="minorEastAsia" w:hAnsiTheme="minorEastAsia" w:eastAsiaTheme="minorEastAsia"/>
          <w:color w:val="auto"/>
          <w:sz w:val="24"/>
          <w:szCs w:val="24"/>
        </w:rPr>
        <w:t>日</w:t>
      </w:r>
      <w:r>
        <w:rPr>
          <w:rFonts w:hint="eastAsia" w:asciiTheme="minorEastAsia" w:hAnsiTheme="minorEastAsia" w:eastAsiaTheme="minorEastAsia"/>
          <w:sz w:val="24"/>
          <w:szCs w:val="24"/>
        </w:rPr>
        <w:t>17时之前交清竞买保证金。竞买保证金缴至指定</w:t>
      </w:r>
      <w:r>
        <w:rPr>
          <w:rFonts w:hint="eastAsia" w:asciiTheme="minorEastAsia" w:hAnsiTheme="minorEastAsia" w:eastAsiaTheme="minorEastAsia"/>
          <w:sz w:val="24"/>
          <w:szCs w:val="24"/>
          <w:lang w:eastAsia="zh-CN"/>
        </w:rPr>
        <w:t>账户</w:t>
      </w:r>
      <w:r>
        <w:rPr>
          <w:rFonts w:hint="eastAsia" w:asciiTheme="minorEastAsia" w:hAnsiTheme="minorEastAsia" w:eastAsiaTheme="minorEastAsia"/>
          <w:sz w:val="24"/>
          <w:szCs w:val="24"/>
        </w:rPr>
        <w:t>（</w:t>
      </w:r>
      <w:r>
        <w:rPr>
          <w:rFonts w:hint="eastAsia" w:ascii="宋体" w:hAnsi="宋体" w:cs="宋体"/>
          <w:kern w:val="0"/>
          <w:sz w:val="24"/>
          <w:szCs w:val="24"/>
        </w:rPr>
        <w:t>开户行：厦门银行股份有限公司龙岩分行</w:t>
      </w:r>
      <w:r>
        <w:rPr>
          <w:rFonts w:hint="eastAsia" w:ascii="宋体" w:hAnsi="宋体" w:cs="宋体"/>
          <w:kern w:val="0"/>
          <w:sz w:val="24"/>
          <w:szCs w:val="24"/>
          <w:lang w:val="en-US" w:eastAsia="zh-CN"/>
        </w:rPr>
        <w:t>，</w:t>
      </w:r>
      <w:r>
        <w:rPr>
          <w:rFonts w:hint="eastAsia" w:ascii="宋体" w:hAnsi="宋体" w:cs="宋体"/>
          <w:kern w:val="0"/>
          <w:sz w:val="24"/>
          <w:szCs w:val="24"/>
        </w:rPr>
        <w:t>户名：龙岩市产权交易中心有限公司</w:t>
      </w:r>
      <w:r>
        <w:rPr>
          <w:rFonts w:hint="eastAsia" w:ascii="宋体" w:hAnsi="宋体" w:cs="宋体"/>
          <w:kern w:val="0"/>
          <w:sz w:val="24"/>
          <w:szCs w:val="24"/>
          <w:lang w:eastAsia="zh-CN"/>
        </w:rPr>
        <w:t>，</w:t>
      </w:r>
      <w:r>
        <w:rPr>
          <w:rFonts w:hint="eastAsia" w:ascii="宋体" w:hAnsi="宋体" w:cs="宋体"/>
          <w:kern w:val="0"/>
          <w:sz w:val="24"/>
          <w:szCs w:val="24"/>
        </w:rPr>
        <w:t>账号：</w:t>
      </w:r>
      <w:r>
        <w:rPr>
          <w:rFonts w:hint="eastAsia" w:ascii="宋体" w:hAnsi="宋体" w:cs="宋体"/>
          <w:kern w:val="0"/>
          <w:sz w:val="24"/>
          <w:szCs w:val="24"/>
          <w:lang w:eastAsia="zh-CN"/>
        </w:rPr>
        <w:t>以权益云交易平台指定的账号为准</w:t>
      </w:r>
      <w:r>
        <w:rPr>
          <w:rFonts w:hint="eastAsia" w:asciiTheme="minorEastAsia" w:hAnsiTheme="minorEastAsia" w:eastAsiaTheme="minorEastAsia"/>
          <w:sz w:val="24"/>
          <w:szCs w:val="24"/>
        </w:rPr>
        <w:t>）</w:t>
      </w:r>
      <w:r>
        <w:rPr>
          <w:rFonts w:hint="eastAsia" w:asciiTheme="minorEastAsia" w:hAnsiTheme="minorEastAsia" w:eastAsiaTheme="minorEastAsia"/>
          <w:color w:val="333333"/>
          <w:sz w:val="24"/>
          <w:szCs w:val="24"/>
        </w:rPr>
        <w:t>，</w:t>
      </w:r>
      <w:r>
        <w:rPr>
          <w:rFonts w:hint="eastAsia" w:asciiTheme="minorEastAsia" w:hAnsiTheme="minorEastAsia" w:eastAsiaTheme="minorEastAsia"/>
          <w:sz w:val="24"/>
          <w:szCs w:val="24"/>
        </w:rPr>
        <w:t>报名参加的竞买人与缴交保证金名称要一致。未按规定时间、金额缴交竞买保证金的，无权参与本次竞价活动。</w:t>
      </w:r>
    </w:p>
    <w:p>
      <w:pPr>
        <w:spacing w:line="520" w:lineRule="exact"/>
        <w:ind w:firstLine="480" w:firstLineChars="200"/>
        <w:rPr>
          <w:rFonts w:hint="eastAsia" w:ascii="宋体" w:hAnsi="宋体" w:cs="宋体"/>
          <w:color w:val="000000"/>
          <w:kern w:val="0"/>
          <w:sz w:val="24"/>
        </w:rPr>
      </w:pPr>
      <w:r>
        <w:rPr>
          <w:rFonts w:hint="eastAsia" w:asciiTheme="minorEastAsia" w:hAnsiTheme="minorEastAsia" w:eastAsiaTheme="minorEastAsia"/>
          <w:sz w:val="24"/>
        </w:rPr>
        <w:t>2.买受人必须在成交之日起3</w:t>
      </w:r>
      <w:r>
        <w:rPr>
          <w:rFonts w:hint="eastAsia" w:asciiTheme="minorEastAsia" w:hAnsiTheme="minorEastAsia" w:eastAsiaTheme="minorEastAsia"/>
          <w:sz w:val="24"/>
          <w:lang w:eastAsia="zh-CN"/>
        </w:rPr>
        <w:t>个工作</w:t>
      </w:r>
      <w:r>
        <w:rPr>
          <w:rFonts w:hint="eastAsia" w:asciiTheme="minorEastAsia" w:hAnsiTheme="minorEastAsia" w:eastAsiaTheme="minorEastAsia"/>
          <w:sz w:val="24"/>
        </w:rPr>
        <w:t>日内与本公司签订《成交确认书》，</w:t>
      </w:r>
      <w:r>
        <w:rPr>
          <w:rFonts w:hint="eastAsia" w:ascii="宋体" w:hAnsi="宋体" w:cs="宋体"/>
          <w:color w:val="000000"/>
          <w:kern w:val="0"/>
          <w:sz w:val="24"/>
        </w:rPr>
        <w:t>竞买保证金充抵转让款。</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3.其他竞买人的保证金将于挂牌竞价转让结束之日起五个工作日内予以无息退还。</w:t>
      </w:r>
    </w:p>
    <w:p>
      <w:pPr>
        <w:spacing w:line="520" w:lineRule="exact"/>
        <w:rPr>
          <w:rFonts w:hint="eastAsia" w:asciiTheme="minorEastAsia" w:hAnsiTheme="minorEastAsia" w:eastAsiaTheme="minorEastAsia"/>
          <w:b/>
          <w:bCs/>
          <w:sz w:val="24"/>
          <w:lang w:eastAsia="zh-CN"/>
        </w:rPr>
      </w:pPr>
      <w:r>
        <w:rPr>
          <w:rFonts w:hint="eastAsia" w:asciiTheme="minorEastAsia" w:hAnsiTheme="minorEastAsia" w:eastAsiaTheme="minorEastAsia"/>
          <w:b/>
          <w:bCs/>
          <w:sz w:val="24"/>
        </w:rPr>
        <w:t>九、竞买</w:t>
      </w:r>
      <w:r>
        <w:rPr>
          <w:rFonts w:hint="eastAsia" w:asciiTheme="minorEastAsia" w:hAnsiTheme="minorEastAsia" w:eastAsiaTheme="minorEastAsia"/>
          <w:b/>
          <w:bCs/>
          <w:color w:val="auto"/>
          <w:sz w:val="24"/>
        </w:rPr>
        <w:t>手续</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1.有意参加竞价者</w:t>
      </w:r>
      <w:r>
        <w:rPr>
          <w:rFonts w:hint="eastAsia" w:asciiTheme="minorEastAsia" w:hAnsiTheme="minorEastAsia" w:eastAsiaTheme="minorEastAsia"/>
          <w:b/>
          <w:bCs/>
          <w:sz w:val="24"/>
          <w:lang w:eastAsia="zh-CN"/>
        </w:rPr>
        <w:t>（</w:t>
      </w:r>
      <w:r>
        <w:rPr>
          <w:rFonts w:hint="eastAsia" w:asciiTheme="minorEastAsia" w:hAnsiTheme="minorEastAsia" w:eastAsiaTheme="minorEastAsia"/>
          <w:b/>
          <w:bCs/>
          <w:sz w:val="24"/>
          <w:lang w:val="en-US" w:eastAsia="zh-CN"/>
        </w:rPr>
        <w:t>含</w:t>
      </w:r>
      <w:r>
        <w:rPr>
          <w:rFonts w:hint="eastAsia" w:asciiTheme="minorEastAsia" w:hAnsiTheme="minorEastAsia" w:eastAsiaTheme="minorEastAsia"/>
          <w:b/>
          <w:bCs/>
          <w:sz w:val="24"/>
        </w:rPr>
        <w:t>未放弃优先购买权的股东</w:t>
      </w:r>
      <w:r>
        <w:rPr>
          <w:rFonts w:hint="eastAsia" w:asciiTheme="minorEastAsia" w:hAnsiTheme="minorEastAsia" w:eastAsiaTheme="minorEastAsia"/>
          <w:b/>
          <w:bCs/>
          <w:sz w:val="24"/>
          <w:lang w:eastAsia="zh-CN"/>
        </w:rPr>
        <w:t>）</w:t>
      </w:r>
      <w:r>
        <w:rPr>
          <w:rFonts w:hint="eastAsia" w:asciiTheme="minorEastAsia" w:hAnsiTheme="minorEastAsia" w:eastAsiaTheme="minorEastAsia"/>
          <w:sz w:val="24"/>
        </w:rPr>
        <w:t>应提供如下有效证照</w:t>
      </w:r>
      <w:r>
        <w:rPr>
          <w:rFonts w:hint="eastAsia" w:asciiTheme="minorEastAsia" w:hAnsiTheme="minorEastAsia" w:eastAsiaTheme="minorEastAsia"/>
          <w:color w:val="000000"/>
          <w:sz w:val="24"/>
        </w:rPr>
        <w:t>(加盖公章的复印件一式一份</w:t>
      </w:r>
      <w:r>
        <w:rPr>
          <w:rFonts w:hint="eastAsia" w:asciiTheme="minorEastAsia" w:hAnsiTheme="minorEastAsia" w:eastAsiaTheme="minorEastAsia"/>
          <w:color w:val="000000"/>
          <w:sz w:val="24"/>
          <w:lang w:eastAsia="zh-CN"/>
        </w:rPr>
        <w:t>，</w:t>
      </w:r>
      <w:r>
        <w:rPr>
          <w:rStyle w:val="14"/>
          <w:rFonts w:hint="eastAsia" w:asciiTheme="minorEastAsia" w:hAnsiTheme="minorEastAsia" w:eastAsiaTheme="minorEastAsia"/>
          <w:color w:val="000000"/>
          <w:spacing w:val="0"/>
          <w:sz w:val="24"/>
        </w:rPr>
        <w:t>提供的一切项目资料应合法、真实、有效，并对此承担法律责任</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企业应提供</w:t>
      </w:r>
      <w:r>
        <w:rPr>
          <w:rFonts w:hint="eastAsia" w:asciiTheme="minorEastAsia" w:hAnsiTheme="minorEastAsia" w:eastAsiaTheme="minorEastAsia"/>
          <w:sz w:val="24"/>
        </w:rPr>
        <w:t>《企业法人营业执照》副本</w:t>
      </w:r>
      <w:r>
        <w:rPr>
          <w:rFonts w:hint="eastAsia" w:asciiTheme="minorEastAsia" w:hAnsiTheme="minorEastAsia" w:eastAsiaTheme="minorEastAsia"/>
          <w:sz w:val="24"/>
          <w:lang w:eastAsia="zh-CN"/>
        </w:rPr>
        <w:t>、法定代表人资格证明书、法定代表人身份证</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color w:val="333333"/>
          <w:kern w:val="0"/>
          <w:sz w:val="24"/>
        </w:rPr>
        <w:t>（2）</w:t>
      </w:r>
      <w:r>
        <w:rPr>
          <w:rFonts w:hint="eastAsia" w:cs="宋体" w:asciiTheme="minorEastAsia" w:hAnsiTheme="minorEastAsia" w:eastAsiaTheme="minorEastAsia"/>
          <w:color w:val="333333"/>
          <w:kern w:val="0"/>
          <w:sz w:val="24"/>
          <w:lang w:val="en-US" w:eastAsia="zh-CN"/>
        </w:rPr>
        <w:t>自然人应提供居民身份证、护照等有效证件</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color w:val="333333"/>
          <w:sz w:val="24"/>
          <w:shd w:val="clear" w:color="auto" w:fill="FFFFFF"/>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w:t>
      </w:r>
      <w:r>
        <w:rPr>
          <w:rFonts w:hint="eastAsia" w:asciiTheme="minorEastAsia" w:hAnsiTheme="minorEastAsia" w:eastAsiaTheme="minorEastAsia"/>
          <w:color w:val="333333"/>
          <w:sz w:val="24"/>
          <w:shd w:val="clear" w:color="auto" w:fill="FFFFFF"/>
        </w:rPr>
        <w:t>签署完整的承诺书；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）挂牌竞价转让文件清单签收确认单；</w:t>
      </w:r>
    </w:p>
    <w:p>
      <w:pPr>
        <w:spacing w:line="520" w:lineRule="exact"/>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联合竞买协议；</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如法定代表人无法亲自到现场参加竞价的，应提供授权委托书原件和委托代理人身份证明。</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2.报名方式：</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(1)现场报名：竞买人应提供已足额缴交竞买保证金的证明材料，到本公司换取竞买保证金收款凭据。</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(2)网上报名：竞买人应在报名截止时间之前将交易保证金缴纳至本公司指定账户（不计利息，以到账时间为准），并在网上办理报名竞价手续时提交相关材料凭证。</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3.竞买人应自行至权益云网站学习竞价流程，注册竞价系统账号并在报名截止时间之前登录竞价系统申请竞价（</w:t>
      </w:r>
      <w:r>
        <w:rPr>
          <w:rFonts w:cs="宋体" w:asciiTheme="minorEastAsia" w:hAnsiTheme="minorEastAsia" w:eastAsiaTheme="minorEastAsia"/>
          <w:b/>
          <w:bCs/>
          <w:color w:val="000000" w:themeColor="text1"/>
          <w:kern w:val="0"/>
          <w:sz w:val="24"/>
          <w14:textFill>
            <w14:solidFill>
              <w14:schemeClr w14:val="tx1"/>
            </w14:solidFill>
          </w14:textFill>
        </w:rPr>
        <w:t>支持微信公众号“权益云交易平台”</w:t>
      </w:r>
      <w:r>
        <w:rPr>
          <w:rFonts w:cs="宋体" w:asciiTheme="minorEastAsia" w:hAnsiTheme="minorEastAsia" w:eastAsiaTheme="minorEastAsia"/>
          <w:color w:val="000000" w:themeColor="text1"/>
          <w:kern w:val="0"/>
          <w:sz w:val="24"/>
          <w14:textFill>
            <w14:solidFill>
              <w14:schemeClr w14:val="tx1"/>
            </w14:solidFill>
          </w14:textFill>
        </w:rPr>
        <w:t>），根据流程上传相关资料，若有疑问应及时咨询本公司业务部门；由于竞买人竞价材料未按时寄达、或者竞价申请未按时提交而导致本公司无法进行资格审核、或者竞价账号未注册或者未激活的，均视为竞买人放弃本次竞价报名。</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4.如委托人撤回竞价标的，竞买人已经交保证金的，保证金即予无息退还，</w:t>
      </w:r>
      <w:r>
        <w:rPr>
          <w:rFonts w:cs="宋体" w:asciiTheme="minorEastAsia" w:hAnsiTheme="minorEastAsia" w:eastAsiaTheme="minorEastAsia"/>
          <w:bCs/>
          <w:color w:val="000000" w:themeColor="text1"/>
          <w:kern w:val="0"/>
          <w:sz w:val="24"/>
          <w14:textFill>
            <w14:solidFill>
              <w14:schemeClr w14:val="tx1"/>
            </w14:solidFill>
          </w14:textFill>
        </w:rPr>
        <w:t>竞买人对此不得有异议，且本公司不对竞买人承担任何损失，此是竞买人参与本次竞价的先决条件。竞买人一旦报名成功，即视为同意本公司的前述免责内容</w:t>
      </w:r>
      <w:r>
        <w:rPr>
          <w:rFonts w:hint="eastAsia" w:cs="宋体" w:asciiTheme="minorEastAsia" w:hAnsiTheme="minorEastAsia" w:eastAsiaTheme="minorEastAsia"/>
          <w:b/>
          <w:bCs/>
          <w:color w:val="000000" w:themeColor="text1"/>
          <w:kern w:val="0"/>
          <w:sz w:val="24"/>
          <w14:textFill>
            <w14:solidFill>
              <w14:schemeClr w14:val="tx1"/>
            </w14:solidFill>
          </w14:textFill>
        </w:rPr>
        <w:t>。</w:t>
      </w:r>
    </w:p>
    <w:p>
      <w:pPr>
        <w:spacing w:line="520" w:lineRule="exact"/>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十、交易方式、竞价原则</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1.采用网络竞价，至报名截止日只有一个竞买人报名时，直接摘牌确认成交；若有2个以上（含2个）竞买人报名时，则通过竞价确认成交人。</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2.在公开、公平、公正的前提下，以价高者得为原则。</w:t>
      </w:r>
    </w:p>
    <w:p>
      <w:pPr>
        <w:spacing w:line="520" w:lineRule="exact"/>
        <w:ind w:firstLine="482"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3.未放弃优先购买权的股东若参加竞买，在同等条件下享有优先购买权，并且需要按照本项目竞价</w:t>
      </w:r>
      <w:r>
        <w:rPr>
          <w:rFonts w:hint="eastAsia" w:asciiTheme="minorEastAsia" w:hAnsiTheme="minorEastAsia" w:eastAsiaTheme="minorEastAsia"/>
          <w:b/>
          <w:bCs/>
          <w:color w:val="000000" w:themeColor="text1"/>
          <w:sz w:val="24"/>
          <w:lang w:val="en-US" w:eastAsia="zh-CN"/>
          <w14:textFill>
            <w14:solidFill>
              <w14:schemeClr w14:val="tx1"/>
            </w14:solidFill>
          </w14:textFill>
        </w:rPr>
        <w:t>转让文件</w:t>
      </w:r>
      <w:r>
        <w:rPr>
          <w:rFonts w:hint="eastAsia" w:asciiTheme="minorEastAsia" w:hAnsiTheme="minorEastAsia" w:eastAsiaTheme="minorEastAsia"/>
          <w:b/>
          <w:bCs/>
          <w:color w:val="000000" w:themeColor="text1"/>
          <w:sz w:val="24"/>
          <w14:textFill>
            <w14:solidFill>
              <w14:schemeClr w14:val="tx1"/>
            </w14:solidFill>
          </w14:textFill>
        </w:rPr>
        <w:t>的要求在挂牌期间提供报名材料和缴纳竞</w:t>
      </w:r>
      <w:r>
        <w:rPr>
          <w:rFonts w:hint="eastAsia" w:asciiTheme="minorEastAsia" w:hAnsiTheme="minorEastAsia" w:eastAsiaTheme="minorEastAsia"/>
          <w:b/>
          <w:bCs/>
          <w:color w:val="000000" w:themeColor="text1"/>
          <w:sz w:val="24"/>
          <w:lang w:eastAsia="zh-CN"/>
          <w14:textFill>
            <w14:solidFill>
              <w14:schemeClr w14:val="tx1"/>
            </w14:solidFill>
          </w14:textFill>
        </w:rPr>
        <w:t>买</w:t>
      </w:r>
      <w:r>
        <w:rPr>
          <w:rFonts w:hint="eastAsia" w:asciiTheme="minorEastAsia" w:hAnsiTheme="minorEastAsia" w:eastAsiaTheme="minorEastAsia"/>
          <w:b/>
          <w:bCs/>
          <w:color w:val="000000" w:themeColor="text1"/>
          <w:sz w:val="24"/>
          <w14:textFill>
            <w14:solidFill>
              <w14:schemeClr w14:val="tx1"/>
            </w14:solidFill>
          </w14:textFill>
        </w:rPr>
        <w:t>保证金参与竞价。</w:t>
      </w:r>
    </w:p>
    <w:p>
      <w:pPr>
        <w:spacing w:line="520" w:lineRule="exac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十一、竞价程序</w:t>
      </w:r>
    </w:p>
    <w:p>
      <w:pPr>
        <w:widowControl/>
        <w:shd w:val="clear" w:color="auto" w:fill="FFFFFF"/>
        <w:spacing w:line="520" w:lineRule="exact"/>
        <w:ind w:firstLine="465"/>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1.本次竞价采用权益云交易平台正向多次报价方式，按价高</w:t>
      </w:r>
      <w:r>
        <w:rPr>
          <w:rFonts w:hint="eastAsia" w:cs="宋体" w:asciiTheme="minorEastAsia" w:hAnsiTheme="minorEastAsia" w:eastAsiaTheme="minorEastAsia"/>
          <w:color w:val="000000" w:themeColor="text1"/>
          <w:kern w:val="0"/>
          <w:sz w:val="24"/>
          <w:lang w:eastAsia="zh-CN"/>
          <w14:textFill>
            <w14:solidFill>
              <w14:schemeClr w14:val="tx1"/>
            </w14:solidFill>
          </w14:textFill>
        </w:rPr>
        <w:t>者</w:t>
      </w:r>
      <w:r>
        <w:rPr>
          <w:rFonts w:cs="宋体" w:asciiTheme="minorEastAsia" w:hAnsiTheme="minorEastAsia" w:eastAsiaTheme="minorEastAsia"/>
          <w:color w:val="000000" w:themeColor="text1"/>
          <w:kern w:val="0"/>
          <w:sz w:val="24"/>
          <w14:textFill>
            <w14:solidFill>
              <w14:schemeClr w14:val="tx1"/>
            </w14:solidFill>
          </w14:textFill>
        </w:rPr>
        <w:t>得确定买受人</w:t>
      </w:r>
      <w:r>
        <w:rPr>
          <w:rFonts w:hint="eastAsia" w:cs="宋体" w:asciiTheme="minorEastAsia" w:hAnsiTheme="minorEastAsia" w:eastAsiaTheme="minorEastAsia"/>
          <w:color w:val="000000" w:themeColor="text1"/>
          <w:kern w:val="0"/>
          <w:sz w:val="24"/>
          <w:lang w:eastAsia="zh-CN"/>
          <w14:textFill>
            <w14:solidFill>
              <w14:schemeClr w14:val="tx1"/>
            </w14:solidFill>
          </w14:textFill>
        </w:rPr>
        <w:t>（同</w:t>
      </w:r>
      <w:r>
        <w:rPr>
          <w:rFonts w:hint="eastAsia" w:asciiTheme="minorEastAsia" w:hAnsiTheme="minorEastAsia" w:eastAsiaTheme="minorEastAsia"/>
          <w:color w:val="000000" w:themeColor="text1"/>
          <w:sz w:val="24"/>
          <w14:textFill>
            <w14:solidFill>
              <w14:schemeClr w14:val="tx1"/>
            </w14:solidFill>
          </w14:textFill>
        </w:rPr>
        <w:t>等条件下，标的企业其他原股东享有优先受让权</w:t>
      </w:r>
      <w:r>
        <w:rPr>
          <w:rFonts w:hint="eastAsia" w:asciiTheme="minorEastAsia" w:hAnsiTheme="minorEastAsia" w:eastAsiaTheme="minorEastAsia"/>
          <w:color w:val="000000" w:themeColor="text1"/>
          <w:sz w:val="24"/>
          <w:lang w:eastAsia="zh-CN"/>
          <w14:textFill>
            <w14:solidFill>
              <w14:schemeClr w14:val="tx1"/>
            </w14:solidFill>
          </w14:textFill>
        </w:rPr>
        <w:t>）</w:t>
      </w:r>
      <w:r>
        <w:rPr>
          <w:rFonts w:cs="宋体" w:asciiTheme="minorEastAsia" w:hAnsiTheme="minorEastAsia" w:eastAsiaTheme="minorEastAsia"/>
          <w:color w:val="000000" w:themeColor="text1"/>
          <w:kern w:val="0"/>
          <w:sz w:val="24"/>
          <w14:textFill>
            <w14:solidFill>
              <w14:schemeClr w14:val="tx1"/>
            </w14:solidFill>
          </w14:textFill>
        </w:rPr>
        <w:t>，未达保留价不成交。竞买人申请竞价经本公司审核通过才能进入竞价大厅正式报价。</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2.</w:t>
      </w:r>
      <w:r>
        <w:rPr>
          <w:rFonts w:cs="宋体" w:asciiTheme="minorEastAsia" w:hAnsiTheme="minorEastAsia" w:eastAsiaTheme="minorEastAsia"/>
          <w:color w:val="000000" w:themeColor="text1"/>
          <w:kern w:val="0"/>
          <w:sz w:val="24"/>
          <w14:textFill>
            <w14:solidFill>
              <w14:schemeClr w14:val="tx1"/>
            </w14:solidFill>
          </w14:textFill>
        </w:rPr>
        <w:t>网络报价过程包括自由报价阶段和限时报价阶段。</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w:t>
      </w:r>
      <w:r>
        <w:rPr>
          <w:rFonts w:asciiTheme="minorEastAsia" w:hAnsiTheme="minorEastAsia" w:eastAsiaTheme="minorEastAsia"/>
          <w:color w:val="000000" w:themeColor="text1"/>
          <w:kern w:val="0"/>
          <w:sz w:val="24"/>
          <w14:textFill>
            <w14:solidFill>
              <w14:schemeClr w14:val="tx1"/>
            </w14:solidFill>
          </w14:textFill>
        </w:rPr>
        <w:t>1</w:t>
      </w:r>
      <w:r>
        <w:rPr>
          <w:rFonts w:cs="宋体" w:asciiTheme="minorEastAsia" w:hAnsiTheme="minorEastAsia" w:eastAsiaTheme="minorEastAsia"/>
          <w:color w:val="000000" w:themeColor="text1"/>
          <w:kern w:val="0"/>
          <w:sz w:val="24"/>
          <w14:textFill>
            <w14:solidFill>
              <w14:schemeClr w14:val="tx1"/>
            </w14:solidFill>
          </w14:textFill>
        </w:rPr>
        <w:t>）自由报价本公司约定时间至限时报价阶段开始前，在本阶段竞买人可以对竞价标的充分报价，报价只要不低于起始价或按设定加价幅度加价的，即为有效报价。</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w:t>
      </w:r>
      <w:r>
        <w:rPr>
          <w:rFonts w:asciiTheme="minorEastAsia" w:hAnsiTheme="minorEastAsia" w:eastAsiaTheme="minorEastAsia"/>
          <w:color w:val="000000" w:themeColor="text1"/>
          <w:kern w:val="0"/>
          <w:sz w:val="24"/>
          <w14:textFill>
            <w14:solidFill>
              <w14:schemeClr w14:val="tx1"/>
            </w14:solidFill>
          </w14:textFill>
        </w:rPr>
        <w:t>2</w:t>
      </w:r>
      <w:r>
        <w:rPr>
          <w:rFonts w:cs="宋体" w:asciiTheme="minorEastAsia" w:hAnsiTheme="minorEastAsia" w:eastAsiaTheme="minorEastAsia"/>
          <w:color w:val="000000" w:themeColor="text1"/>
          <w:kern w:val="0"/>
          <w:sz w:val="24"/>
          <w14:textFill>
            <w14:solidFill>
              <w14:schemeClr w14:val="tx1"/>
            </w14:solidFill>
          </w14:textFill>
        </w:rPr>
        <w:t>）自由报价阶段结束即进入限时报价阶段。限时报价阶段可由多个限时报价周期组成，每个限时报价周期为</w:t>
      </w:r>
      <w:r>
        <w:rPr>
          <w:rFonts w:asciiTheme="minorEastAsia" w:hAnsiTheme="minorEastAsia" w:eastAsiaTheme="minorEastAsia"/>
          <w:color w:val="000000" w:themeColor="text1"/>
          <w:kern w:val="0"/>
          <w:sz w:val="24"/>
          <w14:textFill>
            <w14:solidFill>
              <w14:schemeClr w14:val="tx1"/>
            </w14:solidFill>
          </w14:textFill>
        </w:rPr>
        <w:t>120</w:t>
      </w:r>
      <w:r>
        <w:rPr>
          <w:rFonts w:cs="宋体" w:asciiTheme="minorEastAsia" w:hAnsiTheme="minorEastAsia" w:eastAsiaTheme="minorEastAsia"/>
          <w:color w:val="000000" w:themeColor="text1"/>
          <w:kern w:val="0"/>
          <w:sz w:val="24"/>
          <w14:textFill>
            <w14:solidFill>
              <w14:schemeClr w14:val="tx1"/>
            </w14:solidFill>
          </w14:textFill>
        </w:rPr>
        <w:t>秒。在一个限时报价周期内如无人加价，</w:t>
      </w:r>
      <w:r>
        <w:rPr>
          <w:rFonts w:hint="eastAsia" w:cs="宋体" w:asciiTheme="minorEastAsia" w:hAnsiTheme="minorEastAsia" w:eastAsiaTheme="minorEastAsia"/>
          <w:color w:val="000000" w:themeColor="text1"/>
          <w:kern w:val="0"/>
          <w:sz w:val="24"/>
          <w14:textFill>
            <w14:solidFill>
              <w14:schemeClr w14:val="tx1"/>
            </w14:solidFill>
          </w14:textFill>
        </w:rPr>
        <w:t>且优先权人不行权的，</w:t>
      </w:r>
      <w:r>
        <w:rPr>
          <w:rFonts w:cs="宋体" w:asciiTheme="minorEastAsia" w:hAnsiTheme="minorEastAsia" w:eastAsiaTheme="minorEastAsia"/>
          <w:color w:val="000000" w:themeColor="text1"/>
          <w:kern w:val="0"/>
          <w:sz w:val="24"/>
          <w14:textFill>
            <w14:solidFill>
              <w14:schemeClr w14:val="tx1"/>
            </w14:solidFill>
          </w14:textFill>
        </w:rPr>
        <w:t>当前的最高出价（大于或等于保留价）者即为该标的的买受人，该标的竞价活动结束；如限时报价周期内有人加价，则以此报价时间为新的限时报价周期起点，往后等待新的报价，直至最后一个限时报价周期内没有新的有效报价</w:t>
      </w:r>
      <w:r>
        <w:rPr>
          <w:rFonts w:hint="eastAsia" w:cs="宋体" w:asciiTheme="minorEastAsia" w:hAnsiTheme="minorEastAsia" w:eastAsiaTheme="minorEastAsia"/>
          <w:color w:val="000000" w:themeColor="text1"/>
          <w:kern w:val="0"/>
          <w:sz w:val="24"/>
          <w14:textFill>
            <w14:solidFill>
              <w14:schemeClr w14:val="tx1"/>
            </w14:solidFill>
          </w14:textFill>
        </w:rPr>
        <w:t>，且优先权人不行权</w:t>
      </w:r>
      <w:r>
        <w:rPr>
          <w:rFonts w:cs="宋体" w:asciiTheme="minorEastAsia" w:hAnsiTheme="minorEastAsia" w:eastAsiaTheme="minorEastAsia"/>
          <w:color w:val="000000" w:themeColor="text1"/>
          <w:kern w:val="0"/>
          <w:sz w:val="24"/>
          <w14:textFill>
            <w14:solidFill>
              <w14:schemeClr w14:val="tx1"/>
            </w14:solidFill>
          </w14:textFill>
        </w:rPr>
        <w:t>为止，当前最高有效报价（大于或等于保留价）的竞买人即成为该标的的买受人，该标的竞价活动结束。</w:t>
      </w:r>
    </w:p>
    <w:p>
      <w:pPr>
        <w:widowControl/>
        <w:shd w:val="clear" w:color="auto" w:fill="FFFFFF"/>
        <w:spacing w:line="520" w:lineRule="exact"/>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 xml:space="preserve">  </w:t>
      </w:r>
      <w:r>
        <w:rPr>
          <w:rFonts w:hint="eastAsia" w:cs="宋体" w:asciiTheme="minorEastAsia" w:hAnsiTheme="minorEastAsia" w:eastAsiaTheme="minorEastAsia"/>
          <w:color w:val="000000" w:themeColor="text1"/>
          <w:kern w:val="0"/>
          <w:sz w:val="24"/>
          <w14:textFill>
            <w14:solidFill>
              <w14:schemeClr w14:val="tx1"/>
            </w14:solidFill>
          </w14:textFill>
        </w:rPr>
        <w:t xml:space="preserve"> </w:t>
      </w:r>
      <w:r>
        <w:rPr>
          <w:rFonts w:cs="宋体" w:asciiTheme="minorEastAsia" w:hAnsiTheme="minorEastAsia" w:eastAsiaTheme="minorEastAsia"/>
          <w:color w:val="000000" w:themeColor="text1"/>
          <w:kern w:val="0"/>
          <w:sz w:val="24"/>
          <w14:textFill>
            <w14:solidFill>
              <w14:schemeClr w14:val="tx1"/>
            </w14:solidFill>
          </w14:textFill>
        </w:rPr>
        <w:t>3.竞买人必须对</w:t>
      </w:r>
      <w:r>
        <w:rPr>
          <w:rFonts w:hint="eastAsia" w:cs="宋体" w:asciiTheme="minorEastAsia" w:hAnsiTheme="minorEastAsia" w:eastAsiaTheme="minorEastAsia"/>
          <w:color w:val="000000" w:themeColor="text1"/>
          <w:kern w:val="0"/>
          <w:sz w:val="24"/>
          <w14:textFill>
            <w14:solidFill>
              <w14:schemeClr w14:val="tx1"/>
            </w14:solidFill>
          </w14:textFill>
        </w:rPr>
        <w:t>标的情况及</w:t>
      </w:r>
      <w:r>
        <w:rPr>
          <w:rFonts w:cs="宋体" w:asciiTheme="minorEastAsia" w:hAnsiTheme="minorEastAsia" w:eastAsiaTheme="minorEastAsia"/>
          <w:color w:val="000000" w:themeColor="text1"/>
          <w:kern w:val="0"/>
          <w:sz w:val="24"/>
          <w14:textFill>
            <w14:solidFill>
              <w14:schemeClr w14:val="tx1"/>
            </w14:solidFill>
          </w14:textFill>
        </w:rPr>
        <w:t>竞价流程进行充分的咨询和了解，一旦参与竞价，视为无异议，并自行承担由此造成的一切责任。</w:t>
      </w:r>
    </w:p>
    <w:p>
      <w:pPr>
        <w:widowControl/>
        <w:shd w:val="clear" w:color="auto" w:fill="FFFFFF"/>
        <w:spacing w:line="520" w:lineRule="exact"/>
        <w:ind w:firstLine="480"/>
        <w:jc w:val="left"/>
        <w:rPr>
          <w:rFonts w:asciiTheme="minorEastAsia" w:hAnsiTheme="minorEastAsia" w:eastAsiaTheme="minorEastAsia"/>
          <w:color w:val="FF0000"/>
          <w:sz w:val="24"/>
        </w:rPr>
      </w:pPr>
      <w:r>
        <w:rPr>
          <w:rFonts w:cs="宋体" w:asciiTheme="minorEastAsia" w:hAnsiTheme="minorEastAsia" w:eastAsiaTheme="minorEastAsia"/>
          <w:b/>
          <w:bCs/>
          <w:color w:val="FF0000"/>
          <w:kern w:val="0"/>
          <w:sz w:val="24"/>
        </w:rPr>
        <w:t>4.因不可预见的原因导致上述竞价交易方式不能正常进行的，本公司有权中止交易或临时决定采用其它竞价方式和竞价交易规则，竞买人对此不得有异议。</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十二、交易服务费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买受人竞得转让标的后，参照原（龙发改价管[2018]27号）文规定标准的</w:t>
      </w:r>
      <w:r>
        <w:rPr>
          <w:rFonts w:hint="eastAsia" w:asciiTheme="minorEastAsia" w:hAnsiTheme="minorEastAsia" w:eastAsiaTheme="minorEastAsia"/>
          <w:sz w:val="24"/>
          <w:lang w:val="en-US" w:eastAsia="zh-CN"/>
        </w:rPr>
        <w:t>八</w:t>
      </w:r>
      <w:r>
        <w:rPr>
          <w:rFonts w:hint="eastAsia" w:asciiTheme="minorEastAsia" w:hAnsiTheme="minorEastAsia" w:eastAsiaTheme="minorEastAsia"/>
          <w:sz w:val="24"/>
        </w:rPr>
        <w:t>折向本公司支付交易服务费（含交易佣金及鉴证费，分档累进计算），</w:t>
      </w:r>
      <w:r>
        <w:rPr>
          <w:rFonts w:hint="eastAsia" w:ascii="宋体" w:hAnsi="宋体"/>
          <w:sz w:val="24"/>
        </w:rPr>
        <w:t>交易服务费</w:t>
      </w:r>
      <w:r>
        <w:rPr>
          <w:rFonts w:hint="eastAsia" w:ascii="宋体" w:hAnsi="宋体"/>
          <w:color w:val="000000"/>
          <w:sz w:val="24"/>
        </w:rPr>
        <w:t>应在成交之日起3</w:t>
      </w:r>
      <w:r>
        <w:rPr>
          <w:rFonts w:hint="eastAsia" w:ascii="宋体" w:hAnsi="宋体"/>
          <w:color w:val="000000"/>
          <w:sz w:val="24"/>
          <w:lang w:eastAsia="zh-CN"/>
        </w:rPr>
        <w:t>个工作日</w:t>
      </w:r>
      <w:r>
        <w:rPr>
          <w:rFonts w:hint="eastAsia" w:ascii="宋体" w:hAnsi="宋体"/>
          <w:color w:val="000000"/>
          <w:sz w:val="24"/>
        </w:rPr>
        <w:t>内缴清</w:t>
      </w:r>
      <w:r>
        <w:rPr>
          <w:rFonts w:hint="eastAsia" w:asciiTheme="minorEastAsia" w:hAnsiTheme="minorEastAsia" w:eastAsiaTheme="minorEastAsia"/>
          <w:sz w:val="24"/>
        </w:rPr>
        <w:t>。</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产权交易佣金收费标准如下：</w:t>
      </w:r>
    </w:p>
    <w:tbl>
      <w:tblPr>
        <w:tblStyle w:val="10"/>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34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30"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100万元以下（含100万元）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100-200万元（含200万元）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200-500万元（含500万元）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500-1000万元（含1000万元）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1000-3000万元（含3000万元）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3000万元以上</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0.3%</w:t>
            </w:r>
          </w:p>
        </w:tc>
      </w:tr>
    </w:tbl>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交易鉴证费收费标准如下：</w:t>
      </w:r>
    </w:p>
    <w:tbl>
      <w:tblPr>
        <w:tblStyle w:val="10"/>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229"/>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508"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50万元以下（含50万元）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51-100万元（含100万元）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101-300万元（含300万元）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301-500万元（含500万元）</w:t>
            </w:r>
          </w:p>
        </w:tc>
        <w:tc>
          <w:tcPr>
            <w:tcW w:w="3018" w:type="dxa"/>
            <w:shd w:val="clear" w:color="auto" w:fill="auto"/>
          </w:tcPr>
          <w:p>
            <w:pPr>
              <w:tabs>
                <w:tab w:val="right" w:pos="2802"/>
              </w:tabs>
              <w:spacing w:line="520" w:lineRule="exact"/>
              <w:jc w:val="center"/>
              <w:rPr>
                <w:rFonts w:asciiTheme="minorEastAsia" w:hAnsiTheme="minorEastAsia" w:eastAsiaTheme="minorEastAsia"/>
              </w:rPr>
            </w:pPr>
            <w:r>
              <w:rPr>
                <w:rFonts w:hint="eastAsia" w:asciiTheme="minorEastAsia" w:hAnsiTheme="minorEastAsia" w:eastAsiaTheme="minor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501-1000万元（含1000万元）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1000万元以上</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0.08%</w:t>
            </w:r>
          </w:p>
        </w:tc>
      </w:tr>
    </w:tbl>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十三、</w:t>
      </w:r>
      <w:r>
        <w:rPr>
          <w:rFonts w:hint="eastAsia" w:asciiTheme="minorEastAsia" w:hAnsiTheme="minorEastAsia" w:eastAsiaTheme="minorEastAsia"/>
          <w:b/>
          <w:bCs/>
          <w:sz w:val="24"/>
        </w:rPr>
        <w:t>付款方式</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1.</w:t>
      </w:r>
      <w:r>
        <w:rPr>
          <w:rFonts w:hint="eastAsia"/>
          <w:color w:val="111111"/>
        </w:rPr>
        <w:t>受让方必须在成交之日起5个工作日内签订《股权</w:t>
      </w:r>
      <w:r>
        <w:rPr>
          <w:rFonts w:hint="eastAsia" w:ascii="宋体" w:hAnsi="宋体" w:eastAsia="宋体" w:cs="宋体"/>
          <w:color w:val="111111"/>
        </w:rPr>
        <w:t>转让合同》</w:t>
      </w:r>
      <w:r>
        <w:rPr>
          <w:rFonts w:hint="eastAsia" w:ascii="宋体" w:hAnsi="宋体" w:eastAsia="宋体" w:cs="宋体"/>
          <w:color w:val="111111"/>
          <w:sz w:val="24"/>
          <w:szCs w:val="24"/>
          <w:lang w:val="en-US" w:eastAsia="zh-CN"/>
        </w:rPr>
        <w:t>，同时受让方同意在收到我司《成交确认书》当日授权我司将交易保证金450万元人民币转支付给委托方，抵扣部分股权转让款。委托方承诺在收到交易保证金之日起5个工作日内将450万元转至美嘉龙公司账户，用于抵扣5%股权对应的应缴未缴出资额。受让方自委托方将前述450万元转入美嘉龙公司账户之日起10个工作日内将剩余款项一次性转账支付给我司账户。我司按本合同的约定将剩余款项支付给委托方。</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2.买受人的</w:t>
      </w:r>
      <w:r>
        <w:rPr>
          <w:rFonts w:hint="eastAsia" w:asciiTheme="minorEastAsia" w:hAnsiTheme="minorEastAsia" w:eastAsiaTheme="minorEastAsia"/>
          <w:color w:val="000000"/>
          <w:sz w:val="24"/>
        </w:rPr>
        <w:t>竞买保证金充抵</w:t>
      </w:r>
      <w:r>
        <w:rPr>
          <w:rFonts w:hint="eastAsia" w:ascii="宋体" w:hAnsi="宋体" w:cs="宋体"/>
          <w:color w:val="000000"/>
          <w:kern w:val="0"/>
          <w:sz w:val="24"/>
        </w:rPr>
        <w:t>转让款</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转让款付至本公司</w:t>
      </w:r>
      <w:r>
        <w:rPr>
          <w:rFonts w:hint="eastAsia" w:asciiTheme="minorEastAsia" w:hAnsiTheme="minorEastAsia" w:eastAsiaTheme="minorEastAsia"/>
          <w:sz w:val="24"/>
          <w:lang w:eastAsia="zh-CN"/>
        </w:rPr>
        <w:t>账户</w:t>
      </w:r>
      <w:r>
        <w:rPr>
          <w:rFonts w:hint="eastAsia" w:asciiTheme="minorEastAsia" w:hAnsiTheme="minorEastAsia" w:eastAsiaTheme="minorEastAsia"/>
          <w:sz w:val="24"/>
        </w:rPr>
        <w:t>（</w:t>
      </w:r>
      <w:r>
        <w:rPr>
          <w:rFonts w:hint="eastAsia" w:ascii="宋体" w:hAnsi="宋体" w:cs="宋体"/>
          <w:kern w:val="0"/>
          <w:sz w:val="24"/>
        </w:rPr>
        <w:t>开户行：厦门银行股份有限公司龙岩分行</w:t>
      </w:r>
      <w:r>
        <w:rPr>
          <w:rFonts w:hint="eastAsia" w:ascii="宋体" w:hAnsi="宋体" w:cs="宋体"/>
          <w:kern w:val="0"/>
          <w:sz w:val="24"/>
          <w:lang w:val="en-US" w:eastAsia="zh-CN"/>
        </w:rPr>
        <w:t>，</w:t>
      </w:r>
      <w:r>
        <w:rPr>
          <w:rFonts w:hint="eastAsia" w:ascii="宋体" w:hAnsi="宋体" w:cs="宋体"/>
          <w:kern w:val="0"/>
          <w:sz w:val="24"/>
        </w:rPr>
        <w:t>户名：龙岩市产权交易中心有限公司</w:t>
      </w:r>
      <w:r>
        <w:rPr>
          <w:rFonts w:hint="eastAsia" w:ascii="宋体" w:hAnsi="宋体" w:cs="宋体"/>
          <w:kern w:val="0"/>
          <w:sz w:val="24"/>
          <w:lang w:eastAsia="zh-CN"/>
        </w:rPr>
        <w:t>，</w:t>
      </w:r>
      <w:r>
        <w:rPr>
          <w:rFonts w:hint="eastAsia" w:ascii="宋体" w:hAnsi="宋体" w:cs="宋体"/>
          <w:kern w:val="0"/>
          <w:sz w:val="24"/>
        </w:rPr>
        <w:t>账号：</w:t>
      </w:r>
      <w:r>
        <w:rPr>
          <w:rFonts w:hint="eastAsia" w:ascii="宋体" w:hAnsi="宋体" w:cs="宋体"/>
          <w:kern w:val="0"/>
          <w:sz w:val="24"/>
          <w:lang w:eastAsia="zh-CN"/>
        </w:rPr>
        <w:t>以权益云交易平台指定的账号为准</w:t>
      </w:r>
      <w:r>
        <w:rPr>
          <w:rFonts w:hint="eastAsia" w:asciiTheme="minorEastAsia" w:hAnsiTheme="minorEastAsia" w:eastAsiaTheme="minorEastAsia"/>
          <w:sz w:val="24"/>
        </w:rPr>
        <w:t>）。全款到位后，本公司</w:t>
      </w:r>
      <w:bookmarkStart w:id="0" w:name="_GoBack"/>
      <w:bookmarkEnd w:id="0"/>
      <w:r>
        <w:rPr>
          <w:rFonts w:hint="eastAsia" w:asciiTheme="minorEastAsia" w:hAnsiTheme="minorEastAsia" w:eastAsiaTheme="minorEastAsia"/>
          <w:sz w:val="24"/>
        </w:rPr>
        <w:t>开具收款凭证（除交易</w:t>
      </w:r>
      <w:r>
        <w:rPr>
          <w:rFonts w:hint="eastAsia" w:asciiTheme="minorEastAsia" w:hAnsiTheme="minorEastAsia" w:eastAsiaTheme="minorEastAsia"/>
          <w:sz w:val="24"/>
          <w:lang w:eastAsia="zh-CN"/>
        </w:rPr>
        <w:t>服务费</w:t>
      </w:r>
      <w:r>
        <w:rPr>
          <w:rFonts w:hint="eastAsia" w:asciiTheme="minorEastAsia" w:hAnsiTheme="minorEastAsia" w:eastAsiaTheme="minorEastAsia"/>
          <w:sz w:val="24"/>
        </w:rPr>
        <w:t>外，不提供股权转让款的发票）。</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十四、税费承担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1.本次股权转让过程中所涉及的所有税费按法律规定的直接义务人承担，没有明确规定的由受让方承担。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2.竞买人自行承担参加</w:t>
      </w:r>
      <w:r>
        <w:rPr>
          <w:rFonts w:hint="eastAsia" w:asciiTheme="minorEastAsia" w:hAnsiTheme="minorEastAsia" w:eastAsiaTheme="minorEastAsia"/>
          <w:sz w:val="24"/>
          <w:lang w:eastAsia="zh-CN"/>
        </w:rPr>
        <w:t>项目相关</w:t>
      </w:r>
      <w:r>
        <w:rPr>
          <w:rFonts w:hint="eastAsia" w:asciiTheme="minorEastAsia" w:hAnsiTheme="minorEastAsia" w:eastAsiaTheme="minorEastAsia"/>
          <w:sz w:val="24"/>
        </w:rPr>
        <w:t>的全部费用（包括但不限于差旅费、邮寄费、资料费等）。</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十五、</w:t>
      </w:r>
      <w:r>
        <w:rPr>
          <w:rFonts w:hint="eastAsia" w:asciiTheme="minorEastAsia" w:hAnsiTheme="minorEastAsia" w:eastAsiaTheme="minorEastAsia"/>
          <w:b/>
          <w:color w:val="000000"/>
          <w:sz w:val="24"/>
        </w:rPr>
        <w:t>竞价标的提示及移交</w:t>
      </w:r>
    </w:p>
    <w:p>
      <w:pPr>
        <w:spacing w:line="520" w:lineRule="exact"/>
        <w:ind w:firstLine="516" w:firstLineChars="215"/>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1.竞买人在竞价之前，应自行了解核实竞价标的现状，做好尽职调查，并到相关部门了解标的办理股权变更等情况。</w:t>
      </w:r>
    </w:p>
    <w:p>
      <w:pPr>
        <w:spacing w:line="520" w:lineRule="exact"/>
        <w:ind w:firstLine="516" w:firstLineChars="215"/>
        <w:rPr>
          <w:rFonts w:asciiTheme="minorEastAsia" w:hAnsiTheme="minorEastAsia" w:eastAsiaTheme="minorEastAsia"/>
          <w:b/>
          <w:color w:val="FF0000"/>
          <w:sz w:val="24"/>
        </w:rPr>
      </w:pPr>
      <w:r>
        <w:rPr>
          <w:rFonts w:hint="eastAsia" w:asciiTheme="minorEastAsia" w:hAnsiTheme="minorEastAsia" w:eastAsiaTheme="minorEastAsia"/>
          <w:color w:val="000000" w:themeColor="text1"/>
          <w:sz w:val="24"/>
          <w14:textFill>
            <w14:solidFill>
              <w14:schemeClr w14:val="tx1"/>
            </w14:solidFill>
          </w14:textFill>
        </w:rPr>
        <w:t>2.本次转让标的，委托人在买受人付清全款之日起</w:t>
      </w:r>
      <w:r>
        <w:rPr>
          <w:rFonts w:hint="eastAsia" w:asciiTheme="minorEastAsia" w:hAnsiTheme="minorEastAsia" w:eastAsiaTheme="minorEastAsia"/>
          <w:color w:val="000000" w:themeColor="text1"/>
          <w:sz w:val="24"/>
          <w:lang w:val="en-US" w:eastAsia="zh-CN"/>
          <w14:textFill>
            <w14:solidFill>
              <w14:schemeClr w14:val="tx1"/>
            </w14:solidFill>
          </w14:textFill>
        </w:rPr>
        <w:t>30</w:t>
      </w:r>
      <w:r>
        <w:rPr>
          <w:rFonts w:hint="eastAsia" w:asciiTheme="minorEastAsia" w:hAnsiTheme="minorEastAsia" w:eastAsiaTheme="minorEastAsia"/>
          <w:color w:val="000000" w:themeColor="text1"/>
          <w:sz w:val="24"/>
          <w14:textFill>
            <w14:solidFill>
              <w14:schemeClr w14:val="tx1"/>
            </w14:solidFill>
          </w14:textFill>
        </w:rPr>
        <w:t>日内协助买受人办理股权变更相关手续，因买受人的原因产生无法办理股权变更手续等一切后果均由买受人自行负责，本公司和委托人不承担任何经济和法律责任。</w:t>
      </w:r>
    </w:p>
    <w:p>
      <w:pPr>
        <w:spacing w:line="520" w:lineRule="exact"/>
        <w:ind w:firstLine="516" w:firstLineChars="215"/>
        <w:rPr>
          <w:rFonts w:cs="宋体" w:asciiTheme="minorEastAsia" w:hAnsiTheme="minorEastAsia" w:eastAsiaTheme="minorEastAsia"/>
          <w:sz w:val="24"/>
        </w:rPr>
      </w:pPr>
      <w:r>
        <w:rPr>
          <w:rFonts w:hint="eastAsia" w:cs="宋体" w:asciiTheme="minorEastAsia" w:hAnsiTheme="minorEastAsia" w:eastAsiaTheme="minorEastAsia"/>
          <w:color w:val="000000"/>
          <w:sz w:val="24"/>
        </w:rPr>
        <w:t>3.竞价成交后，标的风</w:t>
      </w:r>
      <w:r>
        <w:rPr>
          <w:rFonts w:hint="eastAsia" w:cs="宋体" w:asciiTheme="minorEastAsia" w:hAnsiTheme="minorEastAsia" w:eastAsiaTheme="minorEastAsia"/>
          <w:sz w:val="24"/>
        </w:rPr>
        <w:t>险随之转移给买受人，本公司仅能证明买受人是通过公开合法途径获得转让标的，并不保证买受人具备成为股东的资格条件，买受人要自行承担可能产生的风险(法律、经济等)。</w:t>
      </w:r>
    </w:p>
    <w:p>
      <w:pPr>
        <w:spacing w:line="520" w:lineRule="exact"/>
        <w:ind w:firstLine="516" w:firstLineChars="215"/>
        <w:rPr>
          <w:rFonts w:asciiTheme="minorEastAsia" w:hAnsiTheme="minorEastAsia" w:eastAsiaTheme="minorEastAsia"/>
          <w:sz w:val="24"/>
        </w:rPr>
      </w:pPr>
      <w:r>
        <w:rPr>
          <w:rFonts w:hint="eastAsia" w:asciiTheme="minorEastAsia" w:hAnsiTheme="minorEastAsia" w:eastAsiaTheme="minorEastAsia"/>
          <w:sz w:val="24"/>
        </w:rPr>
        <w:t>4.转让标的</w:t>
      </w:r>
      <w:r>
        <w:rPr>
          <w:rFonts w:asciiTheme="minorEastAsia" w:hAnsiTheme="minorEastAsia" w:eastAsiaTheme="minorEastAsia"/>
          <w:sz w:val="24"/>
        </w:rPr>
        <w:t>如在交割时遇特殊情况而本</w:t>
      </w:r>
      <w:r>
        <w:rPr>
          <w:rFonts w:hint="eastAsia" w:asciiTheme="minorEastAsia" w:hAnsiTheme="minorEastAsia" w:eastAsiaTheme="minorEastAsia"/>
          <w:sz w:val="24"/>
        </w:rPr>
        <w:t>公司</w:t>
      </w:r>
      <w:r>
        <w:rPr>
          <w:rFonts w:asciiTheme="minorEastAsia" w:hAnsiTheme="minorEastAsia" w:eastAsiaTheme="minorEastAsia"/>
          <w:sz w:val="24"/>
        </w:rPr>
        <w:t>无力协调的或由于不可抗力的原因而影响正常移交的，本</w:t>
      </w:r>
      <w:r>
        <w:rPr>
          <w:rFonts w:hint="eastAsia" w:asciiTheme="minorEastAsia" w:hAnsiTheme="minorEastAsia" w:eastAsiaTheme="minorEastAsia"/>
          <w:sz w:val="24"/>
        </w:rPr>
        <w:t>公司及委托方</w:t>
      </w:r>
      <w:r>
        <w:rPr>
          <w:rFonts w:asciiTheme="minorEastAsia" w:hAnsiTheme="minorEastAsia" w:eastAsiaTheme="minorEastAsia"/>
          <w:sz w:val="24"/>
        </w:rPr>
        <w:t>不承担由此造成的一切损失。</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十六、违约责任</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1.竞买人应价后反悔的，或者买受人拒不及时签订《成交确认书》，竞买保证金不予退还，作为竞买人或买受人向本公司支付的违约金；同时本公司和委托人有权将标的收回另行处理。</w:t>
      </w:r>
    </w:p>
    <w:p>
      <w:pPr>
        <w:spacing w:line="520" w:lineRule="exact"/>
        <w:ind w:left="-4" w:leftChars="-2" w:firstLine="480" w:firstLineChars="200"/>
        <w:rPr>
          <w:rFonts w:hint="eastAsia" w:cs="Times New Roman"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2.买受人未按本规定支付标的转让款、交易服务费的，竞买保证金不予退还，同时《成交确认书》自动失效，</w:t>
      </w:r>
      <w:r>
        <w:rPr>
          <w:rFonts w:hint="eastAsia" w:cs="Times New Roman" w:asciiTheme="minorEastAsia" w:hAnsiTheme="minorEastAsia" w:eastAsiaTheme="minorEastAsia"/>
          <w:color w:val="000000" w:themeColor="text1"/>
          <w:sz w:val="24"/>
          <w14:textFill>
            <w14:solidFill>
              <w14:schemeClr w14:val="tx1"/>
            </w14:solidFill>
          </w14:textFill>
        </w:rPr>
        <w:t>委托人有权将标的收回另行处理。</w:t>
      </w:r>
    </w:p>
    <w:p>
      <w:pPr>
        <w:spacing w:line="520" w:lineRule="exact"/>
        <w:ind w:left="-4" w:leftChars="-2" w:firstLine="480" w:firstLineChars="200"/>
        <w:rPr>
          <w:rFonts w:hint="eastAsia" w:cs="Times New Roman" w:asciiTheme="minorEastAsia" w:hAnsiTheme="minorEastAsia" w:eastAsiaTheme="minorEastAsia"/>
          <w:color w:val="000000" w:themeColor="text1"/>
          <w:sz w:val="24"/>
          <w14:textFill>
            <w14:solidFill>
              <w14:schemeClr w14:val="tx1"/>
            </w14:solidFill>
          </w14:textFill>
        </w:rPr>
      </w:pPr>
      <w: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t>3.</w:t>
      </w:r>
      <w:r>
        <w:rPr>
          <w:rFonts w:hint="eastAsia" w:cs="Times New Roman" w:asciiTheme="minorEastAsia" w:hAnsiTheme="minorEastAsia" w:eastAsiaTheme="minorEastAsia"/>
          <w:color w:val="000000" w:themeColor="text1"/>
          <w:sz w:val="24"/>
          <w:szCs w:val="24"/>
          <w14:textFill>
            <w14:solidFill>
              <w14:schemeClr w14:val="tx1"/>
            </w14:solidFill>
          </w14:textFill>
        </w:rPr>
        <w:t>因买受人原因造成</w:t>
      </w:r>
      <w: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t>六个月</w:t>
      </w:r>
      <w:r>
        <w:rPr>
          <w:rFonts w:hint="eastAsia" w:cs="Times New Roman" w:asciiTheme="minorEastAsia" w:hAnsiTheme="minorEastAsia" w:eastAsiaTheme="minorEastAsia"/>
          <w:color w:val="000000" w:themeColor="text1"/>
          <w:sz w:val="24"/>
          <w:szCs w:val="24"/>
          <w14:textFill>
            <w14:solidFill>
              <w14:schemeClr w14:val="tx1"/>
            </w14:solidFill>
          </w14:textFill>
        </w:rPr>
        <w:t>内无法完成</w:t>
      </w:r>
      <w: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t>股权转让过户登记</w:t>
      </w:r>
      <w:r>
        <w:rPr>
          <w:rFonts w:hint="eastAsia" w:cs="Times New Roman" w:asciiTheme="minorEastAsia" w:hAnsiTheme="minorEastAsia" w:eastAsiaTheme="minorEastAsia"/>
          <w:color w:val="000000" w:themeColor="text1"/>
          <w:sz w:val="24"/>
          <w:szCs w:val="24"/>
          <w14:textFill>
            <w14:solidFill>
              <w14:schemeClr w14:val="tx1"/>
            </w14:solidFill>
          </w14:textFill>
        </w:rPr>
        <w:t>的，按违约处理，由买受人承担一切损失</w:t>
      </w:r>
      <w:r>
        <w:rPr>
          <w:rFonts w:hint="eastAsia" w:cs="Times New Roman" w:asciiTheme="minorEastAsia" w:hAnsiTheme="minorEastAsia" w:eastAsiaTheme="minorEastAsia"/>
          <w:color w:val="000000" w:themeColor="text1"/>
          <w:kern w:val="2"/>
          <w:sz w:val="24"/>
          <w:szCs w:val="24"/>
          <w14:textFill>
            <w14:solidFill>
              <w14:schemeClr w14:val="tx1"/>
            </w14:solidFill>
          </w14:textFill>
        </w:rPr>
        <w:t>。</w:t>
      </w:r>
    </w:p>
    <w:p>
      <w:pPr>
        <w:spacing w:line="580" w:lineRule="exact"/>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十七、其他有关事项</w:t>
      </w:r>
    </w:p>
    <w:p>
      <w:pPr>
        <w:spacing w:line="58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1.此次挂牌竞价转让活动是在公开、公平、公正的竞争下进行的。</w:t>
      </w:r>
    </w:p>
    <w:p>
      <w:pPr>
        <w:spacing w:line="58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2.竞买人必须遵守本特别规定，并受此制约。</w:t>
      </w:r>
    </w:p>
    <w:p>
      <w:pPr>
        <w:spacing w:line="58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3.竞买人必须事先办理登记手续，提交有关材料。</w:t>
      </w:r>
    </w:p>
    <w:p>
      <w:pPr>
        <w:spacing w:line="58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pPr>
        <w:spacing w:line="58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5.竞买人一经应价，不得以任何借口反悔，否则以违约处理。</w:t>
      </w:r>
    </w:p>
    <w:p>
      <w:pPr>
        <w:spacing w:line="580" w:lineRule="exact"/>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6.</w:t>
      </w:r>
      <w:r>
        <w:rPr>
          <w:rFonts w:hint="eastAsia" w:ascii="微软雅黑" w:hAnsi="微软雅黑" w:eastAsia="微软雅黑"/>
          <w:b/>
          <w:color w:val="FF0000"/>
          <w:shd w:val="clear" w:color="auto" w:fill="FFFFFF"/>
        </w:rPr>
        <w:t xml:space="preserve"> </w:t>
      </w:r>
      <w:r>
        <w:rPr>
          <w:rFonts w:hint="eastAsia" w:asciiTheme="minorEastAsia" w:hAnsiTheme="minorEastAsia" w:eastAsiaTheme="minorEastAsia"/>
          <w:b/>
          <w:color w:val="FF0000"/>
          <w:sz w:val="24"/>
          <w:shd w:val="clear" w:color="auto" w:fill="FFFFFF"/>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8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7.</w:t>
      </w:r>
      <w:r>
        <w:rPr>
          <w:rFonts w:hint="eastAsia" w:asciiTheme="minorEastAsia" w:hAnsiTheme="minorEastAsia" w:eastAsiaTheme="minorEastAsia" w:cstheme="minorEastAsia"/>
          <w:color w:val="000000" w:themeColor="text1"/>
          <w:sz w:val="24"/>
          <w14:textFill>
            <w14:solidFill>
              <w14:schemeClr w14:val="tx1"/>
            </w14:solidFill>
          </w14:textFill>
        </w:rPr>
        <w:t>竞价转让文件如有更正修改，公告将在龙岩产权交易网（http://</w:t>
      </w:r>
      <w:r>
        <w:rPr>
          <w:rFonts w:hint="eastAsia" w:asciiTheme="minorEastAsia" w:hAnsiTheme="minorEastAsia" w:eastAsiaTheme="minorEastAsia" w:cstheme="minorEastAsia"/>
          <w:color w:val="000000" w:themeColor="text1"/>
          <w:sz w:val="24"/>
          <w:u w:val="single"/>
          <w14:textFill>
            <w14:solidFill>
              <w14:schemeClr w14:val="tx1"/>
            </w14:solidFill>
          </w14:textFill>
        </w:rPr>
        <w:t>www.lycqjy.com</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龙岩市公共资源交易中心网站（</w:t>
      </w:r>
      <w:r>
        <w:rPr>
          <w:rFonts w:hint="eastAsia" w:asciiTheme="minorEastAsia" w:hAnsiTheme="minorEastAsia" w:eastAsiaTheme="minorEastAsia" w:cstheme="minorEastAsia"/>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14:textFill>
            <w14:solidFill>
              <w14:schemeClr w14:val="tx1"/>
            </w14:solidFill>
          </w14:textFill>
        </w:rPr>
        <w:instrText xml:space="preserve"> HYPERLINK "http://https://www.lyggzy.com.cn" </w:instrText>
      </w:r>
      <w:r>
        <w:rPr>
          <w:rFonts w:hint="eastAsia" w:asciiTheme="minorEastAsia" w:hAnsiTheme="minorEastAsia" w:eastAsiaTheme="minorEastAsia" w:cstheme="minorEastAsia"/>
          <w:color w:val="000000" w:themeColor="text1"/>
          <w:sz w:val="24"/>
          <w14:textFill>
            <w14:solidFill>
              <w14:schemeClr w14:val="tx1"/>
            </w14:solidFill>
          </w14:textFill>
        </w:rPr>
        <w:fldChar w:fldCharType="separate"/>
      </w:r>
      <w:r>
        <w:rPr>
          <w:rStyle w:val="15"/>
          <w:rFonts w:hint="eastAsia" w:asciiTheme="minorEastAsia" w:hAnsiTheme="minorEastAsia" w:eastAsiaTheme="minorEastAsia" w:cstheme="minorEastAsia"/>
          <w:color w:val="000000" w:themeColor="text1"/>
          <w:sz w:val="24"/>
          <w14:textFill>
            <w14:solidFill>
              <w14:schemeClr w14:val="tx1"/>
            </w14:solidFill>
          </w14:textFill>
        </w:rPr>
        <w:t>https://www.lyggzy.com.cn</w:t>
      </w:r>
      <w:r>
        <w:rPr>
          <w:rStyle w:val="15"/>
          <w:rFonts w:hint="eastAsia" w:asciiTheme="minorEastAsia" w:hAnsiTheme="minorEastAsia" w:eastAsiaTheme="minorEastAsia" w:cstheme="minorEastAsia"/>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14:textFill>
            <w14:solidFill>
              <w14:schemeClr w14:val="tx1"/>
            </w14:solidFill>
          </w14:textFill>
        </w:rPr>
        <w:t>）上</w:t>
      </w:r>
      <w:r>
        <w:rPr>
          <w:rFonts w:hint="eastAsia" w:asciiTheme="minorEastAsia" w:hAnsiTheme="minorEastAsia" w:eastAsiaTheme="minorEastAsia"/>
          <w:color w:val="000000" w:themeColor="text1"/>
          <w:sz w:val="24"/>
          <w14:textFill>
            <w14:solidFill>
              <w14:schemeClr w14:val="tx1"/>
            </w14:solidFill>
          </w14:textFill>
        </w:rPr>
        <w:t>发布，请竞买人随时密切关注上述网站并下载相关信息，本公司不再另行通知（相同内容如有多次修改，以最后一次修改为准）。竞买人未查看、下载修改内容的，由此造成的后果由竞买人自行负责。</w:t>
      </w:r>
    </w:p>
    <w:p>
      <w:pPr>
        <w:spacing w:line="5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8.有需要通知事项时，本公司以</w:t>
      </w:r>
      <w:r>
        <w:rPr>
          <w:rFonts w:hint="eastAsia" w:asciiTheme="minorEastAsia" w:hAnsiTheme="minorEastAsia" w:eastAsiaTheme="minorEastAsia"/>
          <w:sz w:val="24"/>
        </w:rPr>
        <w:t>竞买人</w:t>
      </w:r>
      <w:r>
        <w:rPr>
          <w:rFonts w:hint="eastAsia" w:cs="宋体" w:asciiTheme="minorEastAsia" w:hAnsiTheme="minorEastAsia" w:eastAsiaTheme="minor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hint="eastAsia" w:asciiTheme="minorEastAsia" w:hAnsiTheme="minorEastAsia" w:eastAsiaTheme="minorEastAsia"/>
          <w:sz w:val="24"/>
        </w:rPr>
        <w:t>由此造成的后果由竞买人自行负责。</w:t>
      </w:r>
      <w:r>
        <w:rPr>
          <w:rFonts w:hint="eastAsia" w:cs="宋体" w:asciiTheme="minorEastAsia" w:hAnsiTheme="minorEastAsia" w:eastAsiaTheme="minorEastAsia"/>
          <w:b/>
          <w:sz w:val="24"/>
        </w:rPr>
        <w:t>竞买人成为买受人参照此条款执行</w:t>
      </w:r>
      <w:r>
        <w:rPr>
          <w:rFonts w:hint="eastAsia" w:cs="宋体" w:asciiTheme="minorEastAsia" w:hAnsiTheme="minorEastAsia" w:eastAsiaTheme="minorEastAsia"/>
          <w:sz w:val="24"/>
        </w:rPr>
        <w:t>。</w:t>
      </w:r>
    </w:p>
    <w:p>
      <w:pPr>
        <w:spacing w:line="580" w:lineRule="exact"/>
        <w:rPr>
          <w:rFonts w:asciiTheme="minorEastAsia" w:hAnsiTheme="minorEastAsia" w:eastAsiaTheme="minorEastAsia"/>
          <w:sz w:val="24"/>
        </w:rPr>
      </w:pPr>
      <w:r>
        <w:rPr>
          <w:rFonts w:hint="eastAsia" w:asciiTheme="minorEastAsia" w:hAnsiTheme="minorEastAsia" w:eastAsiaTheme="minorEastAsia"/>
          <w:b/>
          <w:sz w:val="24"/>
        </w:rPr>
        <w:t>十八、</w:t>
      </w:r>
      <w:r>
        <w:rPr>
          <w:rFonts w:hint="eastAsia" w:asciiTheme="minorEastAsia" w:hAnsiTheme="minorEastAsia" w:eastAsiaTheme="minorEastAsia"/>
          <w:b/>
          <w:bCs/>
          <w:sz w:val="24"/>
        </w:rPr>
        <w:t>特别提请注意事项：</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1.本次转让标的公司股权评估基准日为</w:t>
      </w:r>
      <w:r>
        <w:rPr>
          <w:rFonts w:hint="eastAsia" w:asciiTheme="minorEastAsia" w:hAnsiTheme="minorEastAsia" w:eastAsiaTheme="minorEastAsia" w:cstheme="minorEastAsia"/>
          <w:b/>
          <w:bCs/>
          <w:color w:val="111111"/>
          <w:sz w:val="24"/>
          <w:szCs w:val="24"/>
        </w:rPr>
        <w:t>202</w:t>
      </w:r>
      <w:r>
        <w:rPr>
          <w:rFonts w:hint="eastAsia" w:asciiTheme="minorEastAsia" w:hAnsiTheme="minorEastAsia" w:eastAsiaTheme="minorEastAsia" w:cstheme="minorEastAsia"/>
          <w:b/>
          <w:bCs/>
          <w:color w:val="111111"/>
          <w:sz w:val="24"/>
          <w:szCs w:val="24"/>
          <w:lang w:val="en-US" w:eastAsia="zh-CN"/>
        </w:rPr>
        <w:t>2</w:t>
      </w:r>
      <w:r>
        <w:rPr>
          <w:rFonts w:hint="eastAsia" w:asciiTheme="minorEastAsia" w:hAnsiTheme="minorEastAsia" w:eastAsiaTheme="minorEastAsia" w:cstheme="minorEastAsia"/>
          <w:b/>
          <w:bCs/>
          <w:color w:val="111111"/>
          <w:sz w:val="24"/>
          <w:szCs w:val="24"/>
        </w:rPr>
        <w:t>年</w:t>
      </w:r>
      <w:r>
        <w:rPr>
          <w:rFonts w:hint="eastAsia" w:asciiTheme="minorEastAsia" w:hAnsiTheme="minorEastAsia" w:eastAsiaTheme="minorEastAsia" w:cstheme="minorEastAsia"/>
          <w:b/>
          <w:bCs/>
          <w:color w:val="111111"/>
          <w:sz w:val="24"/>
          <w:szCs w:val="24"/>
          <w:lang w:val="en-US" w:eastAsia="zh-CN"/>
        </w:rPr>
        <w:t>12</w:t>
      </w:r>
      <w:r>
        <w:rPr>
          <w:rFonts w:hint="eastAsia" w:asciiTheme="minorEastAsia" w:hAnsiTheme="minorEastAsia" w:eastAsiaTheme="minorEastAsia" w:cstheme="minorEastAsia"/>
          <w:b/>
          <w:bCs/>
          <w:color w:val="111111"/>
          <w:sz w:val="24"/>
          <w:szCs w:val="24"/>
        </w:rPr>
        <w:t>月3</w:t>
      </w:r>
      <w:r>
        <w:rPr>
          <w:rFonts w:hint="eastAsia" w:asciiTheme="minorEastAsia" w:hAnsiTheme="minorEastAsia" w:eastAsiaTheme="minorEastAsia" w:cstheme="minorEastAsia"/>
          <w:b/>
          <w:bCs/>
          <w:color w:val="111111"/>
          <w:sz w:val="24"/>
          <w:szCs w:val="24"/>
          <w:lang w:val="en-US" w:eastAsia="zh-CN"/>
        </w:rPr>
        <w:t>1</w:t>
      </w:r>
      <w:r>
        <w:rPr>
          <w:rFonts w:hint="eastAsia" w:asciiTheme="minorEastAsia" w:hAnsiTheme="minorEastAsia" w:eastAsiaTheme="minorEastAsia" w:cstheme="minorEastAsia"/>
          <w:b/>
          <w:bCs/>
          <w:color w:val="111111"/>
          <w:sz w:val="24"/>
          <w:szCs w:val="24"/>
        </w:rPr>
        <w:t>日</w:t>
      </w:r>
      <w:r>
        <w:rPr>
          <w:rFonts w:hint="eastAsia" w:asciiTheme="minorEastAsia" w:hAnsiTheme="minorEastAsia" w:eastAsiaTheme="minorEastAsia"/>
          <w:b/>
          <w:sz w:val="24"/>
        </w:rPr>
        <w:t>；资产、负债和权益的移交以股东权益交割日的现状为准。股权转让合同签订之日为股东权益交割日，股东权益交割日后</w:t>
      </w:r>
      <w:r>
        <w:rPr>
          <w:rFonts w:hint="eastAsia" w:asciiTheme="minorEastAsia" w:hAnsiTheme="minorEastAsia" w:eastAsiaTheme="minorEastAsia"/>
          <w:b/>
          <w:sz w:val="24"/>
          <w:lang w:val="en-US" w:eastAsia="zh-CN"/>
        </w:rPr>
        <w:t>委托方</w:t>
      </w:r>
      <w:r>
        <w:rPr>
          <w:rFonts w:hint="eastAsia" w:asciiTheme="minorEastAsia" w:hAnsiTheme="minorEastAsia" w:eastAsiaTheme="minorEastAsia"/>
          <w:b/>
          <w:sz w:val="24"/>
        </w:rPr>
        <w:t>在福建美嘉龙建材有限公司按股权对应享有的权利和应承担的义务，由买受方享有与承担。</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日前一个工作日1</w:t>
      </w:r>
      <w:r>
        <w:rPr>
          <w:rFonts w:hint="eastAsia" w:asciiTheme="minorEastAsia" w:hAnsiTheme="minorEastAsia" w:eastAsiaTheme="minorEastAsia"/>
          <w:b/>
          <w:sz w:val="24"/>
          <w:lang w:val="en-US" w:eastAsia="zh-CN"/>
        </w:rPr>
        <w:t>6</w:t>
      </w:r>
      <w:r>
        <w:rPr>
          <w:rFonts w:hint="eastAsia" w:asciiTheme="minorEastAsia" w:hAnsiTheme="minorEastAsia" w:eastAsiaTheme="minorEastAsia"/>
          <w:b/>
          <w:sz w:val="24"/>
        </w:rPr>
        <w:t>时前以书面形式向本公司提出。由委托人在竞价会进行前作出解释说明。竞买人参加竞价，视为无异议，并对竞价标的存在或可能存在的瑕疵表示认可，并承诺因存在或可能存在的瑕疵造成的风险由买受人承担。</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pPr>
        <w:spacing w:line="580" w:lineRule="exact"/>
        <w:ind w:firstLine="4440" w:firstLineChars="1850"/>
        <w:rPr>
          <w:rFonts w:asciiTheme="minorEastAsia" w:hAnsiTheme="minorEastAsia" w:eastAsiaTheme="minorEastAsia"/>
          <w:sz w:val="24"/>
        </w:rPr>
      </w:pPr>
    </w:p>
    <w:p>
      <w:pPr>
        <w:spacing w:line="520" w:lineRule="exact"/>
        <w:ind w:firstLine="5040" w:firstLineChars="2100"/>
        <w:rPr>
          <w:rFonts w:asciiTheme="minorEastAsia" w:hAnsiTheme="minorEastAsia" w:eastAsiaTheme="minorEastAsia"/>
          <w:sz w:val="24"/>
        </w:rPr>
      </w:pPr>
      <w:r>
        <w:rPr>
          <w:rFonts w:hint="eastAsia" w:asciiTheme="minorEastAsia" w:hAnsiTheme="minorEastAsia" w:eastAsiaTheme="minorEastAsia"/>
          <w:sz w:val="24"/>
        </w:rPr>
        <w:t>龙岩市产权交易中心有限公司</w:t>
      </w:r>
    </w:p>
    <w:p>
      <w:pPr>
        <w:spacing w:line="520" w:lineRule="exact"/>
        <w:ind w:firstLine="5640" w:firstLineChars="2350"/>
        <w:rPr>
          <w:rFonts w:asciiTheme="minorEastAsia" w:hAnsiTheme="minorEastAsia" w:eastAsiaTheme="minorEastAsia"/>
          <w:color w:val="FF0000"/>
          <w:sz w:val="24"/>
        </w:rPr>
      </w:pP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3</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12</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25</w:t>
      </w:r>
      <w:r>
        <w:rPr>
          <w:rFonts w:hint="eastAsia" w:asciiTheme="minorEastAsia" w:hAnsiTheme="minorEastAsia" w:eastAsiaTheme="minorEastAsia"/>
          <w:color w:val="auto"/>
          <w:sz w:val="24"/>
        </w:rPr>
        <w:t>日</w:t>
      </w:r>
    </w:p>
    <w:p>
      <w:pPr>
        <w:widowControl/>
        <w:jc w:val="left"/>
        <w:rPr>
          <w:rFonts w:asciiTheme="minorEastAsia" w:hAnsiTheme="minorEastAsia" w:eastAsiaTheme="minorEastAsia"/>
        </w:rPr>
      </w:pPr>
      <w:r>
        <w:rPr>
          <w:rFonts w:asciiTheme="minorEastAsia" w:hAnsiTheme="minorEastAsia" w:eastAsiaTheme="minorEastAsia"/>
        </w:rPr>
        <w:br w:type="page"/>
      </w:r>
    </w:p>
    <w:p>
      <w:pPr>
        <w:widowControl/>
        <w:spacing w:line="380" w:lineRule="exact"/>
        <w:jc w:val="left"/>
        <w:rPr>
          <w:rFonts w:asciiTheme="minorEastAsia" w:hAnsiTheme="minorEastAsia" w:eastAsiaTheme="minorEastAsia"/>
        </w:rPr>
      </w:pP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rFonts w:ascii="宋体" w:hAnsi="宋体"/>
          <w:sz w:val="24"/>
        </w:rPr>
      </w:pPr>
      <w:r>
        <w:rPr>
          <w:rFonts w:hint="eastAsia" w:asciiTheme="minorEastAsia" w:hAnsiTheme="minorEastAsia" w:eastAsiaTheme="minorEastAsia"/>
          <w:sz w:val="24"/>
        </w:rPr>
        <w:t>本竞买人</w:t>
      </w:r>
      <w:r>
        <w:rPr>
          <w:rFonts w:hint="eastAsia" w:ascii="宋体" w:hAnsi="宋体"/>
          <w:sz w:val="24"/>
        </w:rPr>
        <w:t>承诺提供的报名材料真实、合法、有效，</w:t>
      </w:r>
      <w:r>
        <w:rPr>
          <w:rFonts w:hint="eastAsia" w:asciiTheme="minorEastAsia" w:hAnsiTheme="minorEastAsia" w:eastAsiaTheme="minorEastAsia"/>
          <w:sz w:val="24"/>
        </w:rPr>
        <w:t>自愿报名参加贵司于202</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24</w:t>
      </w:r>
      <w:r>
        <w:rPr>
          <w:rFonts w:hint="eastAsia" w:asciiTheme="minorEastAsia" w:hAnsiTheme="minorEastAsia" w:eastAsiaTheme="minorEastAsia"/>
          <w:sz w:val="24"/>
        </w:rPr>
        <w:t>日在权益云交易平台举行的</w:t>
      </w:r>
      <w:r>
        <w:rPr>
          <w:rFonts w:hint="eastAsia" w:asciiTheme="minorEastAsia" w:hAnsiTheme="minorEastAsia" w:eastAsiaTheme="minorEastAsia"/>
          <w:sz w:val="24"/>
          <w:lang w:eastAsia="zh-CN"/>
        </w:rPr>
        <w:t>“</w:t>
      </w:r>
      <w:r>
        <w:rPr>
          <w:rFonts w:hint="eastAsia"/>
          <w:sz w:val="24"/>
          <w:szCs w:val="24"/>
          <w:u w:val="none"/>
          <w:lang w:val="en-US" w:eastAsia="zh-CN"/>
        </w:rPr>
        <w:t>福建美嘉龙建材有限公司5%股权”多次报价</w:t>
      </w:r>
      <w:r>
        <w:rPr>
          <w:rFonts w:hint="eastAsia" w:ascii="宋体" w:hAnsi="宋体"/>
          <w:sz w:val="24"/>
        </w:rPr>
        <w:t>，已知悉权益云的网络竞价流程,</w:t>
      </w:r>
      <w:r>
        <w:rPr>
          <w:rFonts w:hint="eastAsia"/>
          <w:sz w:val="24"/>
        </w:rPr>
        <w:t>并保证有到标的物现场查勘现状，一旦参加竞买，视为对标的现状无异议，</w:t>
      </w:r>
      <w:r>
        <w:rPr>
          <w:rFonts w:hint="eastAsia"/>
          <w:sz w:val="24"/>
          <w:lang w:val="en-US" w:eastAsia="zh-CN"/>
        </w:rPr>
        <w:t>即</w:t>
      </w:r>
      <w:r>
        <w:rPr>
          <w:rFonts w:hint="eastAsia"/>
          <w:sz w:val="24"/>
        </w:rPr>
        <w:t>对标的存在或可能存在的瑕疵表示认可，并承诺因存在或可能存在的瑕疵造成的风险由本人（公司）承担。</w:t>
      </w:r>
      <w:r>
        <w:rPr>
          <w:rFonts w:hint="eastAsia"/>
          <w:sz w:val="24"/>
          <w:lang w:val="en-US" w:eastAsia="zh-CN"/>
        </w:rPr>
        <w:t>同时</w:t>
      </w:r>
      <w:r>
        <w:rPr>
          <w:rFonts w:hint="eastAsia"/>
          <w:sz w:val="24"/>
        </w:rPr>
        <w:t>已收悉</w:t>
      </w:r>
      <w:r>
        <w:rPr>
          <w:rFonts w:hint="eastAsia" w:ascii="宋体" w:hAnsi="宋体" w:eastAsia="宋体"/>
          <w:sz w:val="24"/>
        </w:rPr>
        <w:t>《竞价转让文件》（项目编号：</w:t>
      </w:r>
      <w:r>
        <w:rPr>
          <w:rFonts w:hint="eastAsia" w:ascii="宋体" w:hAnsi="宋体" w:eastAsia="宋体"/>
          <w:sz w:val="24"/>
          <w:lang w:eastAsia="zh-CN"/>
        </w:rPr>
        <w:t>ZR2023</w:t>
      </w:r>
      <w:r>
        <w:rPr>
          <w:rFonts w:hint="eastAsia" w:ascii="宋体" w:hAnsi="宋体" w:eastAsia="宋体"/>
          <w:color w:val="0000FF"/>
          <w:sz w:val="24"/>
          <w:lang w:eastAsia="zh-CN"/>
        </w:rPr>
        <w:t>-</w:t>
      </w:r>
      <w:r>
        <w:rPr>
          <w:rFonts w:hint="eastAsia" w:ascii="宋体" w:hAnsi="宋体" w:eastAsia="宋体"/>
          <w:color w:val="000000" w:themeColor="text1"/>
          <w:sz w:val="24"/>
          <w:lang w:val="en-US" w:eastAsia="zh-CN"/>
          <w14:textFill>
            <w14:solidFill>
              <w14:schemeClr w14:val="tx1"/>
            </w14:solidFill>
          </w14:textFill>
        </w:rPr>
        <w:t>32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eastAsia="宋体"/>
          <w:sz w:val="24"/>
        </w:rPr>
        <w:t>）中的全部材料</w:t>
      </w:r>
      <w:r>
        <w:rPr>
          <w:rFonts w:hint="eastAsia"/>
          <w:sz w:val="24"/>
          <w:lang w:eastAsia="zh-CN"/>
        </w:rPr>
        <w:t>，</w:t>
      </w:r>
      <w:r>
        <w:rPr>
          <w:rFonts w:hint="eastAsia" w:ascii="宋体" w:hAnsi="宋体"/>
          <w:sz w:val="24"/>
        </w:rPr>
        <w:t>并保证遵守和全面履行《</w:t>
      </w:r>
      <w:r>
        <w:rPr>
          <w:rFonts w:hint="eastAsia" w:ascii="宋体" w:hAnsi="宋体"/>
          <w:bCs/>
          <w:sz w:val="24"/>
        </w:rPr>
        <w:t>竞价转让特别规定</w:t>
      </w:r>
      <w:r>
        <w:rPr>
          <w:rFonts w:hint="eastAsia" w:ascii="宋体" w:hAnsi="宋体"/>
          <w:sz w:val="24"/>
        </w:rPr>
        <w:t>》中的各项规定，若违反该规定，本竞买人愿被取消竞价资格，保证金不予退回，并承担由此造成的一切经济和法律责任。</w:t>
      </w:r>
    </w:p>
    <w:p>
      <w:pPr>
        <w:spacing w:line="360" w:lineRule="auto"/>
        <w:ind w:firstLine="573"/>
        <w:rPr>
          <w:bCs/>
          <w:sz w:val="24"/>
        </w:rPr>
      </w:pPr>
    </w:p>
    <w:p>
      <w:pPr>
        <w:ind w:firstLine="570"/>
        <w:rPr>
          <w:bCs/>
          <w:sz w:val="24"/>
        </w:rPr>
      </w:pPr>
    </w:p>
    <w:p>
      <w:pPr>
        <w:ind w:firstLine="570"/>
        <w:rPr>
          <w:bCs/>
          <w:sz w:val="24"/>
        </w:rPr>
      </w:pPr>
    </w:p>
    <w:p>
      <w:pPr>
        <w:ind w:firstLine="480" w:firstLineChars="200"/>
        <w:rPr>
          <w:sz w:val="24"/>
        </w:rPr>
      </w:pPr>
      <w:r>
        <w:rPr>
          <w:rFonts w:hint="eastAsia"/>
          <w:sz w:val="24"/>
        </w:rPr>
        <w:t>特此承诺</w:t>
      </w:r>
    </w:p>
    <w:p>
      <w:pPr>
        <w:spacing w:line="520" w:lineRule="exact"/>
        <w:ind w:firstLine="480" w:firstLineChars="200"/>
        <w:rPr>
          <w:sz w:val="24"/>
          <w:u w:val="single"/>
        </w:rPr>
      </w:pPr>
      <w:r>
        <w:rPr>
          <w:rFonts w:hint="eastAsia"/>
          <w:sz w:val="24"/>
        </w:rPr>
        <w:t xml:space="preserve">                 承诺人（竞买人公章）：</w:t>
      </w:r>
      <w:r>
        <w:rPr>
          <w:rFonts w:hint="eastAsia"/>
          <w:sz w:val="24"/>
          <w:u w:val="single"/>
        </w:rPr>
        <w:t xml:space="preserve">          </w:t>
      </w:r>
    </w:p>
    <w:p>
      <w:pPr>
        <w:spacing w:line="520" w:lineRule="exact"/>
        <w:ind w:firstLine="2520" w:firstLineChars="1050"/>
        <w:rPr>
          <w:sz w:val="24"/>
          <w:u w:val="single"/>
        </w:rPr>
      </w:pPr>
      <w:r>
        <w:rPr>
          <w:rFonts w:hint="eastAsia"/>
          <w:sz w:val="24"/>
        </w:rPr>
        <w:t>法定代表人（签章）：</w:t>
      </w:r>
      <w:r>
        <w:rPr>
          <w:rFonts w:hint="eastAsia"/>
          <w:sz w:val="24"/>
          <w:u w:val="single"/>
        </w:rPr>
        <w:t xml:space="preserve">            </w:t>
      </w:r>
    </w:p>
    <w:p>
      <w:pPr>
        <w:spacing w:line="520" w:lineRule="exact"/>
        <w:ind w:firstLine="2520" w:firstLineChars="1050"/>
        <w:rPr>
          <w:sz w:val="24"/>
          <w:u w:val="single"/>
        </w:rPr>
      </w:pPr>
      <w:r>
        <w:rPr>
          <w:rFonts w:hint="eastAsia"/>
          <w:sz w:val="24"/>
        </w:rPr>
        <w:t>授权代表（签章）：</w:t>
      </w:r>
      <w:r>
        <w:rPr>
          <w:rFonts w:hint="eastAsia"/>
          <w:sz w:val="24"/>
          <w:u w:val="single"/>
        </w:rPr>
        <w:t xml:space="preserve">              </w:t>
      </w:r>
    </w:p>
    <w:p>
      <w:pPr>
        <w:spacing w:line="520" w:lineRule="exact"/>
        <w:ind w:firstLine="2520" w:firstLineChars="1050"/>
        <w:rPr>
          <w:sz w:val="24"/>
        </w:rPr>
      </w:pPr>
      <w:r>
        <w:rPr>
          <w:rFonts w:hint="eastAsia"/>
          <w:sz w:val="24"/>
        </w:rPr>
        <w:t>联系电话：</w:t>
      </w:r>
      <w:r>
        <w:rPr>
          <w:rFonts w:hint="eastAsia"/>
          <w:sz w:val="24"/>
          <w:u w:val="single"/>
        </w:rPr>
        <w:t xml:space="preserve">                     </w:t>
      </w:r>
    </w:p>
    <w:p>
      <w:pPr>
        <w:spacing w:line="520" w:lineRule="exact"/>
        <w:ind w:firstLine="2520" w:firstLineChars="1050"/>
        <w:rPr>
          <w:sz w:val="24"/>
          <w:u w:val="single"/>
        </w:rPr>
      </w:pPr>
    </w:p>
    <w:p>
      <w:pPr>
        <w:spacing w:line="520" w:lineRule="exact"/>
        <w:ind w:firstLine="4560" w:firstLineChars="1900"/>
        <w:rPr>
          <w:sz w:val="24"/>
        </w:rPr>
      </w:pPr>
      <w:r>
        <w:rPr>
          <w:rFonts w:hint="eastAsia"/>
          <w:sz w:val="24"/>
        </w:rPr>
        <w:t>年   月   日</w:t>
      </w:r>
    </w:p>
    <w:p>
      <w:pPr>
        <w:spacing w:line="520" w:lineRule="exact"/>
        <w:rPr>
          <w:sz w:val="24"/>
        </w:rPr>
      </w:pPr>
    </w:p>
    <w:p>
      <w:pPr>
        <w:spacing w:line="520" w:lineRule="exact"/>
        <w:rPr>
          <w:sz w:val="24"/>
        </w:rPr>
      </w:pPr>
    </w:p>
    <w:p>
      <w:pPr>
        <w:spacing w:line="520" w:lineRule="exact"/>
        <w:rPr>
          <w:sz w:val="24"/>
          <w:u w:val="single"/>
        </w:rPr>
      </w:pPr>
      <w:r>
        <w:rPr>
          <w:rFonts w:hint="eastAsia"/>
          <w:sz w:val="24"/>
          <w:u w:val="single"/>
        </w:rPr>
        <w:t xml:space="preserve">                                                           </w:t>
      </w:r>
    </w:p>
    <w:p>
      <w:pPr>
        <w:spacing w:line="520" w:lineRule="exact"/>
        <w:ind w:left="720" w:hanging="720" w:hangingChars="300"/>
        <w:rPr>
          <w:sz w:val="24"/>
        </w:rPr>
      </w:pPr>
      <w:r>
        <w:rPr>
          <w:rFonts w:hint="eastAsia"/>
          <w:sz w:val="24"/>
        </w:rPr>
        <w:t>说明：1、竞买人为法人的，由法人单位盖公章，法定代表人或负责人签名或盖章。</w:t>
      </w:r>
    </w:p>
    <w:p>
      <w:pPr>
        <w:spacing w:line="520" w:lineRule="exact"/>
        <w:ind w:firstLine="720" w:firstLineChars="300"/>
        <w:rPr>
          <w:sz w:val="24"/>
        </w:rPr>
      </w:pPr>
      <w:r>
        <w:rPr>
          <w:rFonts w:hint="eastAsia"/>
          <w:sz w:val="24"/>
        </w:rPr>
        <w:t>2、本承诺书仅为样式，由竞买人另行出具。</w:t>
      </w:r>
    </w:p>
    <w:p>
      <w:pPr>
        <w:widowControl/>
        <w:jc w:val="left"/>
      </w:pPr>
      <w:r>
        <w:br w:type="page"/>
      </w:r>
    </w:p>
    <w:p>
      <w:pPr>
        <w:jc w:val="center"/>
        <w:rPr>
          <w:b/>
          <w:bCs/>
          <w:sz w:val="44"/>
        </w:rPr>
      </w:pPr>
      <w:r>
        <w:rPr>
          <w:rFonts w:hint="eastAsia"/>
          <w:b/>
          <w:bCs/>
          <w:sz w:val="44"/>
        </w:rPr>
        <w:t>交保证金特别提示</w:t>
      </w:r>
    </w:p>
    <w:p>
      <w:pPr>
        <w:spacing w:line="240" w:lineRule="exact"/>
        <w:jc w:val="center"/>
        <w:rPr>
          <w:b/>
          <w:bCs/>
          <w:sz w:val="44"/>
        </w:rPr>
      </w:pPr>
    </w:p>
    <w:p>
      <w:pPr>
        <w:ind w:firstLine="560" w:firstLineChars="200"/>
        <w:rPr>
          <w:sz w:val="28"/>
          <w:szCs w:val="28"/>
        </w:rPr>
      </w:pPr>
      <w:r>
        <w:rPr>
          <w:rFonts w:hint="eastAsia"/>
          <w:sz w:val="28"/>
          <w:szCs w:val="28"/>
        </w:rPr>
        <w:t>以下二种竞买保证金到达银行</w:t>
      </w:r>
      <w:r>
        <w:rPr>
          <w:rFonts w:hint="eastAsia"/>
          <w:sz w:val="28"/>
          <w:szCs w:val="28"/>
          <w:lang w:eastAsia="zh-CN"/>
        </w:rPr>
        <w:t>账</w:t>
      </w:r>
      <w:r>
        <w:rPr>
          <w:rFonts w:hint="eastAsia"/>
          <w:sz w:val="28"/>
          <w:szCs w:val="28"/>
        </w:rPr>
        <w:t>户方式的期限：</w:t>
      </w:r>
    </w:p>
    <w:p>
      <w:pPr>
        <w:ind w:firstLine="560" w:firstLineChars="200"/>
        <w:rPr>
          <w:sz w:val="28"/>
          <w:szCs w:val="28"/>
        </w:rPr>
      </w:pPr>
      <w:r>
        <w:rPr>
          <w:rFonts w:hint="eastAsia"/>
          <w:sz w:val="28"/>
          <w:szCs w:val="28"/>
        </w:rPr>
        <w:t>（一）同城转</w:t>
      </w:r>
      <w:r>
        <w:rPr>
          <w:rFonts w:hint="eastAsia"/>
          <w:sz w:val="28"/>
          <w:szCs w:val="28"/>
          <w:lang w:eastAsia="zh-CN"/>
        </w:rPr>
        <w:t>账</w:t>
      </w:r>
      <w:r>
        <w:rPr>
          <w:rFonts w:hint="eastAsia"/>
          <w:sz w:val="28"/>
          <w:szCs w:val="28"/>
        </w:rPr>
        <w:t>：当日资金即可到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（二）电汇</w:t>
      </w:r>
    </w:p>
    <w:p>
      <w:pPr>
        <w:ind w:firstLine="560" w:firstLineChars="200"/>
        <w:rPr>
          <w:sz w:val="28"/>
          <w:szCs w:val="28"/>
        </w:rPr>
      </w:pPr>
      <w:r>
        <w:rPr>
          <w:rFonts w:hint="eastAsia"/>
          <w:sz w:val="28"/>
          <w:szCs w:val="28"/>
        </w:rPr>
        <w:t>1、若通过中国人民银行电子转汇当日即可到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2、若通过同一银行系统，随汇随到，最迟不超过次日（节假日除外）；</w:t>
      </w:r>
    </w:p>
    <w:p>
      <w:pPr>
        <w:ind w:firstLine="560" w:firstLineChars="200"/>
        <w:rPr>
          <w:sz w:val="28"/>
          <w:szCs w:val="28"/>
        </w:rPr>
      </w:pPr>
      <w:r>
        <w:rPr>
          <w:rFonts w:hint="eastAsia"/>
          <w:sz w:val="28"/>
          <w:szCs w:val="28"/>
        </w:rPr>
        <w:t>3、若通过其他银行转汇，需5日（节假日除外）。</w:t>
      </w:r>
    </w:p>
    <w:p>
      <w:pPr>
        <w:spacing w:line="520" w:lineRule="exact"/>
        <w:ind w:firstLine="280" w:firstLineChars="100"/>
        <w:rPr>
          <w:sz w:val="28"/>
          <w:szCs w:val="28"/>
        </w:rPr>
      </w:pPr>
      <w:r>
        <w:rPr>
          <w:rFonts w:hint="eastAsia"/>
          <w:sz w:val="28"/>
          <w:szCs w:val="28"/>
        </w:rPr>
        <w:t>竞买人应充分考虑保证金到</w:t>
      </w:r>
      <w:r>
        <w:rPr>
          <w:rFonts w:hint="eastAsia"/>
          <w:sz w:val="28"/>
          <w:szCs w:val="28"/>
          <w:lang w:eastAsia="zh-CN"/>
        </w:rPr>
        <w:t>账</w:t>
      </w:r>
      <w:r>
        <w:rPr>
          <w:rFonts w:hint="eastAsia"/>
          <w:sz w:val="28"/>
          <w:szCs w:val="28"/>
        </w:rPr>
        <w:t>期限，若竞买人保证金未在规定时间前汇达</w:t>
      </w:r>
      <w:r>
        <w:rPr>
          <w:rFonts w:hint="eastAsia"/>
          <w:sz w:val="28"/>
          <w:szCs w:val="28"/>
          <w:lang w:eastAsia="zh-CN"/>
        </w:rPr>
        <w:t>账</w:t>
      </w:r>
      <w:r>
        <w:rPr>
          <w:rFonts w:hint="eastAsia"/>
          <w:sz w:val="28"/>
          <w:szCs w:val="28"/>
        </w:rPr>
        <w:t>户（</w:t>
      </w:r>
      <w:r>
        <w:rPr>
          <w:rFonts w:hint="eastAsia" w:ascii="宋体" w:hAnsi="宋体" w:cs="宋体"/>
          <w:kern w:val="0"/>
          <w:sz w:val="28"/>
          <w:szCs w:val="28"/>
        </w:rPr>
        <w:t>开户行：厦门银行股份有限公司龙岩分行</w:t>
      </w:r>
      <w:r>
        <w:rPr>
          <w:rFonts w:hint="eastAsia" w:ascii="宋体" w:hAnsi="宋体" w:cs="宋体"/>
          <w:kern w:val="0"/>
          <w:sz w:val="28"/>
          <w:szCs w:val="28"/>
          <w:lang w:val="en-US" w:eastAsia="zh-CN"/>
        </w:rPr>
        <w:t>，</w:t>
      </w:r>
      <w:r>
        <w:rPr>
          <w:rFonts w:hint="eastAsia" w:ascii="宋体" w:hAnsi="宋体" w:cs="宋体"/>
          <w:kern w:val="0"/>
          <w:sz w:val="28"/>
          <w:szCs w:val="28"/>
        </w:rPr>
        <w:t>户名：龙岩市产权交易中心有限公司</w:t>
      </w:r>
      <w:r>
        <w:rPr>
          <w:rFonts w:hint="eastAsia" w:ascii="宋体" w:hAnsi="宋体" w:cs="宋体"/>
          <w:kern w:val="0"/>
          <w:sz w:val="28"/>
          <w:szCs w:val="28"/>
          <w:lang w:eastAsia="zh-CN"/>
        </w:rPr>
        <w:t>，</w:t>
      </w:r>
      <w:r>
        <w:rPr>
          <w:rFonts w:hint="eastAsia" w:ascii="宋体" w:hAnsi="宋体" w:cs="宋体"/>
          <w:kern w:val="0"/>
          <w:sz w:val="28"/>
          <w:szCs w:val="28"/>
        </w:rPr>
        <w:t>账号：</w:t>
      </w:r>
      <w:r>
        <w:rPr>
          <w:rFonts w:hint="eastAsia" w:ascii="宋体" w:hAnsi="宋体" w:cs="宋体"/>
          <w:kern w:val="0"/>
          <w:sz w:val="28"/>
          <w:szCs w:val="28"/>
          <w:lang w:eastAsia="zh-CN"/>
        </w:rPr>
        <w:t>以权益云交易平台指定的账号为准</w:t>
      </w:r>
      <w:r>
        <w:rPr>
          <w:rFonts w:hint="eastAsia"/>
          <w:sz w:val="28"/>
          <w:szCs w:val="28"/>
        </w:rPr>
        <w:t>），将无权取得竞买人的资格。</w:t>
      </w:r>
    </w:p>
    <w:p>
      <w:pPr>
        <w:rPr>
          <w:sz w:val="28"/>
          <w:szCs w:val="28"/>
        </w:rPr>
      </w:pPr>
      <w:r>
        <w:rPr>
          <w:rFonts w:hint="eastAsia"/>
          <w:sz w:val="28"/>
          <w:szCs w:val="28"/>
        </w:rPr>
        <w:t xml:space="preserve"> </w:t>
      </w:r>
    </w:p>
    <w:p>
      <w:pPr>
        <w:rPr>
          <w:sz w:val="28"/>
          <w:szCs w:val="28"/>
        </w:rPr>
      </w:pPr>
    </w:p>
    <w:p>
      <w:pPr>
        <w:widowControl/>
        <w:jc w:val="left"/>
      </w:pPr>
      <w:r>
        <w:br w:type="page"/>
      </w:r>
    </w:p>
    <w:p>
      <w:pPr>
        <w:jc w:val="center"/>
        <w:rPr>
          <w:rFonts w:eastAsia="黑体"/>
          <w:sz w:val="44"/>
        </w:rPr>
      </w:pPr>
      <w:r>
        <w:rPr>
          <w:rFonts w:hint="eastAsia" w:eastAsia="黑体"/>
          <w:sz w:val="44"/>
        </w:rPr>
        <w:t>竞买保证金缴纳凭证</w:t>
      </w:r>
    </w:p>
    <w:p>
      <w:pPr>
        <w:rPr>
          <w:sz w:val="32"/>
        </w:rPr>
      </w:pPr>
    </w:p>
    <w:tbl>
      <w:tblPr>
        <w:tblStyle w:val="10"/>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42" w:hRule="atLeast"/>
        </w:trPr>
        <w:tc>
          <w:tcPr>
            <w:tcW w:w="8536" w:type="dxa"/>
          </w:tcPr>
          <w:p>
            <w:pPr>
              <w:jc w:val="center"/>
              <w:rPr>
                <w:sz w:val="32"/>
              </w:rPr>
            </w:pPr>
          </w:p>
          <w:p>
            <w:pPr>
              <w:jc w:val="center"/>
              <w:rPr>
                <w:sz w:val="28"/>
                <w:szCs w:val="28"/>
              </w:rPr>
            </w:pPr>
            <w:r>
              <w:rPr>
                <w:rFonts w:hint="eastAsia"/>
                <w:sz w:val="28"/>
                <w:szCs w:val="28"/>
              </w:rPr>
              <w:t>竞买人提供银行进</w:t>
            </w:r>
            <w:r>
              <w:rPr>
                <w:rFonts w:hint="eastAsia"/>
                <w:sz w:val="28"/>
                <w:szCs w:val="28"/>
                <w:lang w:eastAsia="zh-CN"/>
              </w:rPr>
              <w:t>账</w:t>
            </w:r>
            <w:r>
              <w:rPr>
                <w:rFonts w:hint="eastAsia"/>
                <w:sz w:val="28"/>
                <w:szCs w:val="28"/>
              </w:rPr>
              <w:t>单复印件（粘贴处）</w:t>
            </w:r>
          </w:p>
          <w:p>
            <w:pPr>
              <w:jc w:val="center"/>
              <w:rPr>
                <w:sz w:val="32"/>
              </w:rPr>
            </w:pPr>
            <w:r>
              <w:rPr>
                <w:rFonts w:hint="eastAsia"/>
                <w:sz w:val="28"/>
                <w:szCs w:val="28"/>
              </w:rPr>
              <w:t>（原件备查）</w:t>
            </w:r>
          </w:p>
        </w:tc>
      </w:tr>
    </w:tbl>
    <w:p>
      <w:pPr>
        <w:rPr>
          <w:sz w:val="32"/>
        </w:rPr>
      </w:pPr>
    </w:p>
    <w:p>
      <w:pPr>
        <w:widowControl/>
        <w:jc w:val="left"/>
      </w:pPr>
      <w:r>
        <w:br w:type="page"/>
      </w:r>
    </w:p>
    <w:p>
      <w:pPr>
        <w:jc w:val="center"/>
        <w:rPr>
          <w:rFonts w:eastAsia="黑体"/>
          <w:sz w:val="44"/>
        </w:rPr>
      </w:pPr>
      <w:r>
        <w:rPr>
          <w:rFonts w:hint="eastAsia" w:eastAsia="黑体"/>
          <w:sz w:val="44"/>
        </w:rPr>
        <w:t>授权委托书（法人）</w:t>
      </w:r>
    </w:p>
    <w:p>
      <w:pPr>
        <w:spacing w:line="240" w:lineRule="exact"/>
        <w:jc w:val="center"/>
        <w:rPr>
          <w:rFonts w:eastAsia="黑体"/>
          <w:sz w:val="44"/>
        </w:rPr>
      </w:pPr>
    </w:p>
    <w:p>
      <w:pPr>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（姓名）为我公司代理人，以本公司名义参加</w:t>
      </w:r>
      <w:r>
        <w:rPr>
          <w:rFonts w:hint="eastAsia"/>
          <w:sz w:val="28"/>
          <w:szCs w:val="28"/>
          <w:u w:val="single"/>
        </w:rPr>
        <w:t xml:space="preserve">                    </w:t>
      </w:r>
      <w:r>
        <w:rPr>
          <w:rFonts w:hint="eastAsia"/>
          <w:sz w:val="28"/>
          <w:szCs w:val="28"/>
        </w:rPr>
        <w:t>。代理人在报名及竞买过程中所签署的一切文件和处理与之相关的一切事务，均具备法律效力。</w:t>
      </w:r>
    </w:p>
    <w:p>
      <w:pPr>
        <w:ind w:firstLine="630"/>
        <w:rPr>
          <w:sz w:val="28"/>
          <w:szCs w:val="28"/>
        </w:rPr>
      </w:pPr>
      <w:r>
        <w:rPr>
          <w:rFonts w:hint="eastAsia"/>
          <w:sz w:val="28"/>
          <w:szCs w:val="28"/>
        </w:rPr>
        <w:t>代理人无转委托权。特此委托。</w:t>
      </w:r>
    </w:p>
    <w:p>
      <w:pPr>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p>
    <w:p>
      <w:pPr>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ind w:firstLine="630"/>
        <w:rPr>
          <w:sz w:val="28"/>
          <w:szCs w:val="28"/>
        </w:rPr>
      </w:pPr>
      <w:r>
        <w:rPr>
          <w:rFonts w:hint="eastAsia"/>
          <w:sz w:val="28"/>
          <w:szCs w:val="28"/>
        </w:rPr>
        <w:t xml:space="preserve">联系电话：                 </w:t>
      </w:r>
    </w:p>
    <w:p>
      <w:pPr>
        <w:ind w:firstLine="630"/>
        <w:rPr>
          <w:sz w:val="28"/>
          <w:szCs w:val="28"/>
          <w:u w:val="single"/>
        </w:rPr>
      </w:pPr>
    </w:p>
    <w:p>
      <w:pPr>
        <w:ind w:firstLine="630"/>
        <w:rPr>
          <w:sz w:val="28"/>
          <w:szCs w:val="28"/>
          <w:u w:val="single"/>
        </w:rPr>
      </w:pPr>
    </w:p>
    <w:p>
      <w:pPr>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ind w:firstLine="630"/>
        <w:rPr>
          <w:sz w:val="28"/>
          <w:szCs w:val="28"/>
          <w:u w:val="single"/>
        </w:rPr>
      </w:pPr>
    </w:p>
    <w:p>
      <w:pPr>
        <w:ind w:firstLine="630"/>
        <w:rPr>
          <w:sz w:val="28"/>
          <w:szCs w:val="28"/>
          <w:u w:val="single"/>
        </w:rPr>
      </w:pPr>
    </w:p>
    <w:p>
      <w:pPr>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rPr>
          <w:sz w:val="28"/>
          <w:szCs w:val="28"/>
        </w:rPr>
      </w:pPr>
      <w:r>
        <w:rPr>
          <w:rFonts w:hint="eastAsia"/>
          <w:sz w:val="28"/>
          <w:szCs w:val="28"/>
        </w:rPr>
        <w:t xml:space="preserve">              </w:t>
      </w:r>
    </w:p>
    <w:p>
      <w:pPr>
        <w:ind w:firstLine="2380" w:firstLineChars="850"/>
        <w:rPr>
          <w:sz w:val="28"/>
          <w:szCs w:val="28"/>
        </w:rPr>
      </w:pPr>
      <w:r>
        <w:rPr>
          <w:rFonts w:hint="eastAsia"/>
          <w:sz w:val="28"/>
          <w:szCs w:val="28"/>
        </w:rPr>
        <w:t xml:space="preserve">            日期：        年    月    日</w:t>
      </w:r>
    </w:p>
    <w:p>
      <w:pPr>
        <w:widowControl/>
        <w:jc w:val="left"/>
      </w:pPr>
      <w:r>
        <w:br w:type="page"/>
      </w:r>
    </w:p>
    <w:p>
      <w:pPr>
        <w:jc w:val="center"/>
        <w:rPr>
          <w:rFonts w:eastAsia="黑体"/>
          <w:sz w:val="44"/>
        </w:rPr>
      </w:pPr>
      <w:r>
        <w:rPr>
          <w:rFonts w:hint="eastAsia" w:eastAsia="黑体"/>
          <w:sz w:val="44"/>
        </w:rPr>
        <w:t>法定代表人资格证明书</w:t>
      </w:r>
    </w:p>
    <w:p>
      <w:pPr>
        <w:rPr>
          <w:sz w:val="32"/>
        </w:rPr>
      </w:pPr>
    </w:p>
    <w:p>
      <w:pPr>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ind w:firstLine="560" w:firstLineChars="200"/>
        <w:rPr>
          <w:sz w:val="28"/>
          <w:szCs w:val="28"/>
          <w:u w:val="single"/>
        </w:rPr>
      </w:pPr>
      <w:r>
        <w:rPr>
          <w:rFonts w:hint="eastAsia"/>
          <w:sz w:val="28"/>
          <w:szCs w:val="28"/>
        </w:rPr>
        <w:t>地    址：</w:t>
      </w:r>
      <w:r>
        <w:rPr>
          <w:rFonts w:hint="eastAsia"/>
          <w:sz w:val="28"/>
          <w:szCs w:val="28"/>
          <w:u w:val="single"/>
        </w:rPr>
        <w:t xml:space="preserve">                              </w:t>
      </w:r>
    </w:p>
    <w:p>
      <w:pPr>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w:t>
      </w:r>
    </w:p>
    <w:p>
      <w:pPr>
        <w:rPr>
          <w:sz w:val="28"/>
          <w:szCs w:val="28"/>
        </w:rPr>
      </w:pPr>
    </w:p>
    <w:p>
      <w:pPr>
        <w:rPr>
          <w:sz w:val="28"/>
          <w:szCs w:val="28"/>
        </w:rPr>
      </w:pPr>
    </w:p>
    <w:p>
      <w:pPr>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ind w:firstLine="1960" w:firstLineChars="700"/>
        <w:rPr>
          <w:sz w:val="32"/>
        </w:rPr>
      </w:pPr>
      <w:r>
        <w:rPr>
          <w:rFonts w:hint="eastAsia"/>
          <w:sz w:val="28"/>
          <w:szCs w:val="28"/>
        </w:rPr>
        <w:t xml:space="preserve">            日期：        年    月   日</w:t>
      </w:r>
    </w:p>
    <w:p>
      <w:pPr>
        <w:widowControl/>
        <w:jc w:val="left"/>
      </w:pPr>
      <w:r>
        <w:br w:type="page"/>
      </w:r>
    </w:p>
    <w:p>
      <w:pPr>
        <w:spacing w:line="660" w:lineRule="exact"/>
        <w:jc w:val="center"/>
        <w:rPr>
          <w:rFonts w:ascii="宋体" w:hAnsi="宋体"/>
          <w:b/>
          <w:bCs/>
          <w:sz w:val="48"/>
          <w:szCs w:val="48"/>
        </w:rPr>
      </w:pPr>
      <w:r>
        <w:rPr>
          <w:rFonts w:hint="eastAsia" w:ascii="宋体" w:hAnsi="宋体"/>
          <w:b/>
          <w:bCs/>
          <w:sz w:val="48"/>
          <w:szCs w:val="48"/>
        </w:rPr>
        <w:t>成 交 确 认 书</w:t>
      </w:r>
    </w:p>
    <w:p>
      <w:pPr>
        <w:spacing w:line="660" w:lineRule="exact"/>
        <w:jc w:val="center"/>
        <w:rPr>
          <w:rFonts w:ascii="宋体" w:hAnsi="宋体"/>
          <w:b/>
          <w:bCs/>
          <w:sz w:val="44"/>
        </w:rPr>
      </w:pPr>
    </w:p>
    <w:p>
      <w:pPr>
        <w:spacing w:line="660" w:lineRule="exact"/>
        <w:jc w:val="center"/>
        <w:rPr>
          <w:rFonts w:ascii="宋体" w:hAnsi="宋体"/>
          <w:b/>
          <w:bCs/>
          <w:szCs w:val="21"/>
        </w:rPr>
      </w:pPr>
    </w:p>
    <w:p>
      <w:pPr>
        <w:spacing w:line="660" w:lineRule="exact"/>
        <w:ind w:firstLine="600"/>
        <w:jc w:val="left"/>
        <w:rPr>
          <w:rFonts w:ascii="宋体" w:hAnsi="宋体"/>
          <w:b/>
          <w:bCs/>
          <w:sz w:val="28"/>
          <w:szCs w:val="28"/>
        </w:rPr>
      </w:pPr>
      <w:r>
        <w:rPr>
          <w:rFonts w:hint="eastAsia" w:ascii="宋体" w:hAnsi="宋体"/>
          <w:sz w:val="28"/>
          <w:szCs w:val="28"/>
        </w:rPr>
        <w:t>竞买人</w:t>
      </w:r>
      <w:r>
        <w:rPr>
          <w:rFonts w:hint="eastAsia" w:ascii="宋体" w:hAnsi="宋体"/>
          <w:sz w:val="28"/>
          <w:szCs w:val="28"/>
          <w:u w:val="single"/>
        </w:rPr>
        <w:t xml:space="preserve">           </w:t>
      </w:r>
      <w:r>
        <w:rPr>
          <w:rFonts w:hint="eastAsia" w:ascii="宋体" w:hAnsi="宋体"/>
          <w:sz w:val="28"/>
          <w:szCs w:val="28"/>
        </w:rPr>
        <w:t>于</w:t>
      </w:r>
      <w:r>
        <w:rPr>
          <w:rFonts w:hint="eastAsia" w:ascii="宋体" w:hAnsi="宋体"/>
          <w:sz w:val="28"/>
          <w:szCs w:val="28"/>
          <w:u w:val="single"/>
        </w:rPr>
        <w:t>202</w:t>
      </w:r>
      <w:r>
        <w:rPr>
          <w:rFonts w:hint="eastAsia" w:ascii="宋体" w:hAnsi="宋体"/>
          <w:sz w:val="28"/>
          <w:szCs w:val="28"/>
          <w:u w:val="single"/>
          <w:lang w:val="en-US" w:eastAsia="zh-CN"/>
        </w:rPr>
        <w:t>4</w:t>
      </w:r>
      <w:r>
        <w:rPr>
          <w:rFonts w:hint="eastAsia" w:ascii="宋体" w:hAnsi="宋体"/>
          <w:sz w:val="28"/>
          <w:szCs w:val="28"/>
        </w:rPr>
        <w:t>年</w:t>
      </w:r>
      <w:r>
        <w:rPr>
          <w:rFonts w:hint="eastAsia" w:ascii="宋体" w:hAnsi="宋体"/>
          <w:sz w:val="28"/>
          <w:szCs w:val="28"/>
          <w:u w:val="single"/>
          <w:lang w:val="en-US" w:eastAsia="zh-CN"/>
        </w:rPr>
        <w:t xml:space="preserve"> 1</w:t>
      </w:r>
      <w:r>
        <w:rPr>
          <w:rFonts w:hint="eastAsia" w:ascii="宋体" w:hAnsi="宋体"/>
          <w:sz w:val="28"/>
          <w:szCs w:val="28"/>
        </w:rPr>
        <w:t>月</w:t>
      </w:r>
      <w:r>
        <w:rPr>
          <w:rFonts w:hint="eastAsia" w:ascii="宋体" w:hAnsi="宋体"/>
          <w:sz w:val="28"/>
          <w:szCs w:val="28"/>
          <w:u w:val="single"/>
          <w:lang w:val="en-US" w:eastAsia="zh-CN"/>
        </w:rPr>
        <w:t xml:space="preserve"> 24 </w:t>
      </w:r>
      <w:r>
        <w:rPr>
          <w:rFonts w:hint="eastAsia" w:ascii="宋体" w:hAnsi="宋体"/>
          <w:sz w:val="28"/>
          <w:szCs w:val="28"/>
        </w:rPr>
        <w:t>日在权益云交易平台举行的多次报价</w:t>
      </w:r>
      <w:r>
        <w:rPr>
          <w:rFonts w:hint="eastAsia" w:ascii="宋体" w:hAnsi="宋体"/>
          <w:bCs/>
          <w:sz w:val="28"/>
          <w:szCs w:val="28"/>
        </w:rPr>
        <w:t>（项目编号：</w:t>
      </w:r>
      <w:r>
        <w:rPr>
          <w:rFonts w:hint="eastAsia" w:ascii="宋体" w:hAnsi="宋体"/>
          <w:bCs/>
          <w:spacing w:val="-20"/>
          <w:sz w:val="28"/>
          <w:szCs w:val="28"/>
          <w:lang w:eastAsia="zh-CN"/>
        </w:rPr>
        <w:t>ZR202</w:t>
      </w:r>
      <w:r>
        <w:rPr>
          <w:rFonts w:hint="eastAsia" w:ascii="宋体" w:hAnsi="宋体"/>
          <w:bCs/>
          <w:spacing w:val="-20"/>
          <w:sz w:val="28"/>
          <w:szCs w:val="28"/>
          <w:lang w:val="en-US" w:eastAsia="zh-CN"/>
        </w:rPr>
        <w:t>3</w:t>
      </w:r>
      <w:r>
        <w:rPr>
          <w:rFonts w:hint="eastAsia" w:ascii="宋体" w:hAnsi="宋体"/>
          <w:bCs/>
          <w:spacing w:val="-20"/>
          <w:sz w:val="28"/>
          <w:szCs w:val="28"/>
          <w:lang w:eastAsia="zh-CN"/>
        </w:rPr>
        <w:t>-</w:t>
      </w:r>
      <w:r>
        <w:rPr>
          <w:rFonts w:hint="eastAsia" w:ascii="宋体" w:hAnsi="宋体"/>
          <w:bCs/>
          <w:color w:val="000000" w:themeColor="text1"/>
          <w:spacing w:val="-20"/>
          <w:sz w:val="28"/>
          <w:szCs w:val="28"/>
          <w:lang w:val="en-US" w:eastAsia="zh-CN"/>
          <w14:textFill>
            <w14:solidFill>
              <w14:schemeClr w14:val="tx1"/>
            </w14:solidFill>
          </w14:textFill>
        </w:rPr>
        <w:t>32-1</w:t>
      </w:r>
      <w:r>
        <w:rPr>
          <w:rFonts w:hint="eastAsia" w:ascii="宋体" w:hAnsi="宋体"/>
          <w:bCs/>
          <w:sz w:val="28"/>
          <w:szCs w:val="28"/>
        </w:rPr>
        <w:t>）</w:t>
      </w:r>
      <w:r>
        <w:rPr>
          <w:rFonts w:hint="eastAsia" w:ascii="宋体" w:hAnsi="宋体"/>
          <w:sz w:val="28"/>
          <w:szCs w:val="28"/>
        </w:rPr>
        <w:t>以人民币（大写）</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元（小写）￥</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元竞得</w:t>
      </w:r>
      <w:r>
        <w:rPr>
          <w:rFonts w:hint="eastAsia"/>
          <w:sz w:val="28"/>
          <w:szCs w:val="28"/>
          <w:u w:val="single"/>
          <w:lang w:val="en-US" w:eastAsia="zh-CN"/>
        </w:rPr>
        <w:t>福建美嘉龙建材有限公司5%股权</w:t>
      </w:r>
      <w:r>
        <w:rPr>
          <w:rFonts w:hint="eastAsia" w:ascii="宋体" w:hAnsi="宋体"/>
          <w:sz w:val="28"/>
          <w:szCs w:val="28"/>
        </w:rPr>
        <w:t>标的，即竞买人</w:t>
      </w:r>
      <w:r>
        <w:rPr>
          <w:rFonts w:hint="eastAsia" w:ascii="宋体" w:hAnsi="宋体"/>
          <w:sz w:val="28"/>
          <w:szCs w:val="28"/>
          <w:u w:val="single"/>
        </w:rPr>
        <w:t xml:space="preserve">               </w:t>
      </w:r>
      <w:r>
        <w:rPr>
          <w:rFonts w:hint="eastAsia" w:ascii="宋体" w:hAnsi="宋体"/>
          <w:sz w:val="28"/>
          <w:szCs w:val="28"/>
        </w:rPr>
        <w:t>为该转让标的的买受人，特此确认。</w:t>
      </w:r>
    </w:p>
    <w:p>
      <w:pPr>
        <w:spacing w:line="660" w:lineRule="exact"/>
        <w:ind w:firstLine="554" w:firstLineChars="197"/>
        <w:rPr>
          <w:rFonts w:ascii="宋体" w:hAnsi="宋体"/>
          <w:b/>
          <w:sz w:val="28"/>
          <w:szCs w:val="28"/>
          <w:u w:val="single"/>
        </w:rPr>
      </w:pPr>
      <w:r>
        <w:rPr>
          <w:rFonts w:hint="eastAsia" w:ascii="宋体" w:hAnsi="宋体"/>
          <w:b/>
          <w:sz w:val="28"/>
          <w:szCs w:val="28"/>
        </w:rPr>
        <w:t>特别提示：</w:t>
      </w:r>
      <w:r>
        <w:rPr>
          <w:rFonts w:hint="eastAsia" w:ascii="宋体" w:hAnsi="宋体"/>
          <w:b/>
          <w:sz w:val="28"/>
          <w:szCs w:val="28"/>
          <w:u w:val="single"/>
        </w:rPr>
        <w:t xml:space="preserve">根据竞买规则，买受人必须按竞价转让文件的相关规定缴交成交款，及交易服务费 </w:t>
      </w:r>
      <w:r>
        <w:rPr>
          <w:rFonts w:hint="eastAsia" w:ascii="宋体" w:hAnsi="宋体"/>
          <w:b/>
          <w:sz w:val="28"/>
          <w:szCs w:val="28"/>
          <w:u w:val="single"/>
          <w:lang w:val="en-US" w:eastAsia="zh-CN"/>
        </w:rPr>
        <w:t xml:space="preserve"> </w:t>
      </w:r>
      <w:r>
        <w:rPr>
          <w:rFonts w:hint="eastAsia" w:ascii="宋体" w:hAnsi="宋体"/>
          <w:b/>
          <w:sz w:val="28"/>
          <w:szCs w:val="28"/>
          <w:u w:val="single"/>
        </w:rPr>
        <w:t xml:space="preserve">   万元，否则竞买保证金不予以退还买受人。</w:t>
      </w:r>
    </w:p>
    <w:p>
      <w:pPr>
        <w:spacing w:line="660" w:lineRule="exact"/>
        <w:ind w:firstLine="630"/>
        <w:jc w:val="left"/>
        <w:rPr>
          <w:rFonts w:ascii="宋体" w:hAnsi="宋体"/>
          <w:sz w:val="28"/>
          <w:szCs w:val="28"/>
        </w:rPr>
      </w:pPr>
      <w:r>
        <w:rPr>
          <w:rFonts w:hint="eastAsia" w:ascii="宋体" w:hAnsi="宋体"/>
          <w:sz w:val="28"/>
          <w:szCs w:val="28"/>
        </w:rPr>
        <w:t>本确认书壹式叁份，买受人、委托人、龙岩市产权交易中心有限公司各执壹份。</w:t>
      </w:r>
    </w:p>
    <w:p>
      <w:pPr>
        <w:spacing w:line="660" w:lineRule="exact"/>
        <w:jc w:val="left"/>
        <w:rPr>
          <w:rFonts w:ascii="宋体" w:hAnsi="宋体"/>
          <w:sz w:val="28"/>
          <w:szCs w:val="28"/>
        </w:rPr>
      </w:pPr>
      <w:r>
        <w:rPr>
          <w:rFonts w:hint="eastAsia" w:ascii="宋体" w:hAnsi="宋体"/>
          <w:sz w:val="28"/>
          <w:szCs w:val="28"/>
        </w:rPr>
        <w:t>买受人签章确认：</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产权交易机构公章确认：</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代理人：             </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电话：                        </w:t>
      </w:r>
    </w:p>
    <w:p>
      <w:pPr>
        <w:spacing w:line="660" w:lineRule="exact"/>
        <w:ind w:firstLine="140" w:firstLineChars="50"/>
        <w:jc w:val="left"/>
        <w:rPr>
          <w:rFonts w:ascii="宋体" w:hAnsi="宋体"/>
          <w:sz w:val="28"/>
          <w:szCs w:val="28"/>
        </w:rPr>
      </w:pPr>
      <w:r>
        <w:rPr>
          <w:rFonts w:hint="eastAsia" w:ascii="宋体" w:hAnsi="宋体"/>
          <w:sz w:val="28"/>
          <w:szCs w:val="28"/>
        </w:rPr>
        <w:t xml:space="preserve">  </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年   月   日                   年   月   日</w:t>
      </w:r>
    </w:p>
    <w:sectPr>
      <w:footerReference r:id="rId5"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粗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7F7F7F" w:themeColor="background1" w:themeShade="80" w:sz="6" w:space="1"/>
      </w:pBdr>
      <w:jc w:val="right"/>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ptab w:relativeTo="margin" w:alignment="right" w:leader="none"/>
    </w:r>
    <w:r>
      <w:rPr>
        <w:rFonts w:hint="eastAsia"/>
        <w:color w:val="808080" w:themeColor="text1" w:themeTint="80"/>
        <w14:textFill>
          <w14:solidFill>
            <w14:schemeClr w14:val="tx1">
              <w14:lumMod w14:val="50000"/>
              <w14:lumOff w14:val="50000"/>
            </w14:schemeClr>
          </w14:solidFill>
        </w14:textFill>
      </w:rPr>
      <w:t>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ptab w:relativeTo="margin" w:alignment="left" w:leader="none"/>
    </w:r>
    <w:r>
      <w:rPr>
        <w:rFonts w:hint="eastAsia"/>
        <w:color w:val="808080" w:themeColor="text1" w:themeTint="80"/>
        <w14:textFill>
          <w14:solidFill>
            <w14:schemeClr w14:val="tx1">
              <w14:lumMod w14:val="50000"/>
              <w14:lumOff w14:val="50000"/>
            </w14:schemeClr>
          </w14:solidFill>
        </w14:textFill>
      </w:rPr>
      <w:t>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0907C"/>
    <w:multiLevelType w:val="singleLevel"/>
    <w:tmpl w:val="E6C0907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63"/>
    <w:rsid w:val="0001015B"/>
    <w:rsid w:val="00060606"/>
    <w:rsid w:val="000A129C"/>
    <w:rsid w:val="000A40B5"/>
    <w:rsid w:val="000C632D"/>
    <w:rsid w:val="000E5EA7"/>
    <w:rsid w:val="000F6F63"/>
    <w:rsid w:val="000F7D38"/>
    <w:rsid w:val="001052FB"/>
    <w:rsid w:val="001135EE"/>
    <w:rsid w:val="00114695"/>
    <w:rsid w:val="0011754D"/>
    <w:rsid w:val="00144897"/>
    <w:rsid w:val="00185E76"/>
    <w:rsid w:val="001D26C8"/>
    <w:rsid w:val="001E3137"/>
    <w:rsid w:val="001E49B3"/>
    <w:rsid w:val="002034F9"/>
    <w:rsid w:val="00207891"/>
    <w:rsid w:val="00216663"/>
    <w:rsid w:val="00222F95"/>
    <w:rsid w:val="002346D1"/>
    <w:rsid w:val="00237473"/>
    <w:rsid w:val="002713F0"/>
    <w:rsid w:val="00286BDA"/>
    <w:rsid w:val="002A4B99"/>
    <w:rsid w:val="00327382"/>
    <w:rsid w:val="00334F1A"/>
    <w:rsid w:val="003553C7"/>
    <w:rsid w:val="0037062C"/>
    <w:rsid w:val="003A1AFA"/>
    <w:rsid w:val="003B2C4B"/>
    <w:rsid w:val="003D6B09"/>
    <w:rsid w:val="003E2DAE"/>
    <w:rsid w:val="00403530"/>
    <w:rsid w:val="00432215"/>
    <w:rsid w:val="00432D5C"/>
    <w:rsid w:val="00443711"/>
    <w:rsid w:val="00445F5B"/>
    <w:rsid w:val="00447BD8"/>
    <w:rsid w:val="00457818"/>
    <w:rsid w:val="004948CA"/>
    <w:rsid w:val="004A0A07"/>
    <w:rsid w:val="004A16EA"/>
    <w:rsid w:val="004B799A"/>
    <w:rsid w:val="004C180B"/>
    <w:rsid w:val="004E2172"/>
    <w:rsid w:val="004F4CE8"/>
    <w:rsid w:val="005136D5"/>
    <w:rsid w:val="00530CEA"/>
    <w:rsid w:val="00545456"/>
    <w:rsid w:val="005460DA"/>
    <w:rsid w:val="00582CA9"/>
    <w:rsid w:val="00584F5B"/>
    <w:rsid w:val="00585FE9"/>
    <w:rsid w:val="00587A50"/>
    <w:rsid w:val="0059621B"/>
    <w:rsid w:val="005A0971"/>
    <w:rsid w:val="005C1F8C"/>
    <w:rsid w:val="005F63B0"/>
    <w:rsid w:val="005F7F3C"/>
    <w:rsid w:val="00617B3A"/>
    <w:rsid w:val="0063211A"/>
    <w:rsid w:val="0063238D"/>
    <w:rsid w:val="00635D9B"/>
    <w:rsid w:val="00637306"/>
    <w:rsid w:val="00647238"/>
    <w:rsid w:val="00654F24"/>
    <w:rsid w:val="00657248"/>
    <w:rsid w:val="006665C5"/>
    <w:rsid w:val="0069558E"/>
    <w:rsid w:val="006C0B09"/>
    <w:rsid w:val="006D1D56"/>
    <w:rsid w:val="006E1830"/>
    <w:rsid w:val="00700389"/>
    <w:rsid w:val="00734BA9"/>
    <w:rsid w:val="007517B8"/>
    <w:rsid w:val="00760969"/>
    <w:rsid w:val="007861EB"/>
    <w:rsid w:val="007A13AE"/>
    <w:rsid w:val="007A1B21"/>
    <w:rsid w:val="00813C7D"/>
    <w:rsid w:val="00823AA3"/>
    <w:rsid w:val="00835DBF"/>
    <w:rsid w:val="0084769D"/>
    <w:rsid w:val="0085304A"/>
    <w:rsid w:val="00887FA0"/>
    <w:rsid w:val="008A62ED"/>
    <w:rsid w:val="008C29CF"/>
    <w:rsid w:val="008C314D"/>
    <w:rsid w:val="008D3330"/>
    <w:rsid w:val="008D6E89"/>
    <w:rsid w:val="008E282F"/>
    <w:rsid w:val="008F1D99"/>
    <w:rsid w:val="00901900"/>
    <w:rsid w:val="00917177"/>
    <w:rsid w:val="0092229B"/>
    <w:rsid w:val="00922D50"/>
    <w:rsid w:val="009319E5"/>
    <w:rsid w:val="00970392"/>
    <w:rsid w:val="0098357D"/>
    <w:rsid w:val="0098416F"/>
    <w:rsid w:val="00986A41"/>
    <w:rsid w:val="00987828"/>
    <w:rsid w:val="00997EFB"/>
    <w:rsid w:val="009A1A32"/>
    <w:rsid w:val="009A39A2"/>
    <w:rsid w:val="009A6315"/>
    <w:rsid w:val="009C225E"/>
    <w:rsid w:val="009E14FA"/>
    <w:rsid w:val="009E3498"/>
    <w:rsid w:val="009E7F0B"/>
    <w:rsid w:val="00A14988"/>
    <w:rsid w:val="00A24453"/>
    <w:rsid w:val="00A27B6D"/>
    <w:rsid w:val="00A465E3"/>
    <w:rsid w:val="00A74504"/>
    <w:rsid w:val="00A825C6"/>
    <w:rsid w:val="00A86803"/>
    <w:rsid w:val="00A92C18"/>
    <w:rsid w:val="00AA2852"/>
    <w:rsid w:val="00AB02E5"/>
    <w:rsid w:val="00AB4F63"/>
    <w:rsid w:val="00AC74D0"/>
    <w:rsid w:val="00AE2654"/>
    <w:rsid w:val="00B03B01"/>
    <w:rsid w:val="00B149B7"/>
    <w:rsid w:val="00B315BD"/>
    <w:rsid w:val="00B327B3"/>
    <w:rsid w:val="00B51E53"/>
    <w:rsid w:val="00B74C5E"/>
    <w:rsid w:val="00B96249"/>
    <w:rsid w:val="00BA1983"/>
    <w:rsid w:val="00BB509B"/>
    <w:rsid w:val="00BC58F6"/>
    <w:rsid w:val="00BC71C4"/>
    <w:rsid w:val="00BD6177"/>
    <w:rsid w:val="00BE101B"/>
    <w:rsid w:val="00BE4105"/>
    <w:rsid w:val="00BF19E3"/>
    <w:rsid w:val="00BF68D8"/>
    <w:rsid w:val="00C16223"/>
    <w:rsid w:val="00C16901"/>
    <w:rsid w:val="00C32937"/>
    <w:rsid w:val="00C56D90"/>
    <w:rsid w:val="00C63A96"/>
    <w:rsid w:val="00C77A50"/>
    <w:rsid w:val="00C944CE"/>
    <w:rsid w:val="00CC179D"/>
    <w:rsid w:val="00CC54A7"/>
    <w:rsid w:val="00CD5ED6"/>
    <w:rsid w:val="00D00B7A"/>
    <w:rsid w:val="00D02400"/>
    <w:rsid w:val="00D12BBA"/>
    <w:rsid w:val="00D31B1E"/>
    <w:rsid w:val="00D41D19"/>
    <w:rsid w:val="00D44273"/>
    <w:rsid w:val="00D478C3"/>
    <w:rsid w:val="00D70E96"/>
    <w:rsid w:val="00D92A18"/>
    <w:rsid w:val="00DA1DE2"/>
    <w:rsid w:val="00DB32C2"/>
    <w:rsid w:val="00DC1677"/>
    <w:rsid w:val="00DF1A7D"/>
    <w:rsid w:val="00E233B4"/>
    <w:rsid w:val="00E60BA0"/>
    <w:rsid w:val="00E738B3"/>
    <w:rsid w:val="00E823F1"/>
    <w:rsid w:val="00EA6A4C"/>
    <w:rsid w:val="00EB609A"/>
    <w:rsid w:val="00EF2BED"/>
    <w:rsid w:val="00F13037"/>
    <w:rsid w:val="00F177DA"/>
    <w:rsid w:val="00F21CAE"/>
    <w:rsid w:val="00F334E1"/>
    <w:rsid w:val="00F40445"/>
    <w:rsid w:val="00F57386"/>
    <w:rsid w:val="00F64DE1"/>
    <w:rsid w:val="00F73B0E"/>
    <w:rsid w:val="00F75E6E"/>
    <w:rsid w:val="00F94624"/>
    <w:rsid w:val="00F94D09"/>
    <w:rsid w:val="00F97D48"/>
    <w:rsid w:val="00FE00A1"/>
    <w:rsid w:val="00FF0A5E"/>
    <w:rsid w:val="00FF686F"/>
    <w:rsid w:val="01B31B59"/>
    <w:rsid w:val="03380900"/>
    <w:rsid w:val="04421A92"/>
    <w:rsid w:val="05464BE9"/>
    <w:rsid w:val="059E53B4"/>
    <w:rsid w:val="066D17C6"/>
    <w:rsid w:val="06CE2D6F"/>
    <w:rsid w:val="08315A89"/>
    <w:rsid w:val="08A12D4B"/>
    <w:rsid w:val="08DA3DB5"/>
    <w:rsid w:val="0B187464"/>
    <w:rsid w:val="0B350ACE"/>
    <w:rsid w:val="0C427568"/>
    <w:rsid w:val="0D3533F1"/>
    <w:rsid w:val="0D7B6333"/>
    <w:rsid w:val="0D8F4CDE"/>
    <w:rsid w:val="0E0D0F60"/>
    <w:rsid w:val="0EE65821"/>
    <w:rsid w:val="10F60E96"/>
    <w:rsid w:val="11E51403"/>
    <w:rsid w:val="12E06760"/>
    <w:rsid w:val="14A8098A"/>
    <w:rsid w:val="1537529F"/>
    <w:rsid w:val="15CE471A"/>
    <w:rsid w:val="16296562"/>
    <w:rsid w:val="18694DE6"/>
    <w:rsid w:val="18DF2189"/>
    <w:rsid w:val="197E3E34"/>
    <w:rsid w:val="1AA027F9"/>
    <w:rsid w:val="1ABE3FB1"/>
    <w:rsid w:val="1BB51FA4"/>
    <w:rsid w:val="1CD46B74"/>
    <w:rsid w:val="1D6005EF"/>
    <w:rsid w:val="1DF15F19"/>
    <w:rsid w:val="1E1A6E81"/>
    <w:rsid w:val="1E9B4986"/>
    <w:rsid w:val="1EE16D44"/>
    <w:rsid w:val="20794CCF"/>
    <w:rsid w:val="208A4138"/>
    <w:rsid w:val="20A92B8C"/>
    <w:rsid w:val="248B2431"/>
    <w:rsid w:val="248E30E5"/>
    <w:rsid w:val="24E226FC"/>
    <w:rsid w:val="26005D25"/>
    <w:rsid w:val="26A61F12"/>
    <w:rsid w:val="26F72E66"/>
    <w:rsid w:val="27866F81"/>
    <w:rsid w:val="27D57129"/>
    <w:rsid w:val="27DE1A21"/>
    <w:rsid w:val="281D72BE"/>
    <w:rsid w:val="283E0EF2"/>
    <w:rsid w:val="2861665C"/>
    <w:rsid w:val="28DD6CFB"/>
    <w:rsid w:val="29996E1C"/>
    <w:rsid w:val="2A1E78BA"/>
    <w:rsid w:val="2B3326A6"/>
    <w:rsid w:val="2B8173D6"/>
    <w:rsid w:val="2C4445BA"/>
    <w:rsid w:val="2CF36F44"/>
    <w:rsid w:val="2D95625C"/>
    <w:rsid w:val="2DA33E7F"/>
    <w:rsid w:val="2E3B5DD8"/>
    <w:rsid w:val="30E965ED"/>
    <w:rsid w:val="31835F54"/>
    <w:rsid w:val="32646A80"/>
    <w:rsid w:val="32E25AA4"/>
    <w:rsid w:val="33462206"/>
    <w:rsid w:val="33A76009"/>
    <w:rsid w:val="33FB67B1"/>
    <w:rsid w:val="340F7B26"/>
    <w:rsid w:val="343541C9"/>
    <w:rsid w:val="34A1424B"/>
    <w:rsid w:val="3A7874C9"/>
    <w:rsid w:val="3A90074B"/>
    <w:rsid w:val="3C946FA0"/>
    <w:rsid w:val="3CEA3162"/>
    <w:rsid w:val="3D0D017A"/>
    <w:rsid w:val="3FAE5017"/>
    <w:rsid w:val="3FED7601"/>
    <w:rsid w:val="401433F0"/>
    <w:rsid w:val="402B745C"/>
    <w:rsid w:val="41141EF5"/>
    <w:rsid w:val="415B47E1"/>
    <w:rsid w:val="41880F96"/>
    <w:rsid w:val="43416E19"/>
    <w:rsid w:val="45404D48"/>
    <w:rsid w:val="45CA3EBF"/>
    <w:rsid w:val="46C01B17"/>
    <w:rsid w:val="46ED3A2E"/>
    <w:rsid w:val="477C099F"/>
    <w:rsid w:val="47D03952"/>
    <w:rsid w:val="47EF2D65"/>
    <w:rsid w:val="47FA4052"/>
    <w:rsid w:val="491B50BC"/>
    <w:rsid w:val="4A3F2917"/>
    <w:rsid w:val="4AF87442"/>
    <w:rsid w:val="4AF96BDA"/>
    <w:rsid w:val="4BBA3FA4"/>
    <w:rsid w:val="4BE01191"/>
    <w:rsid w:val="4C1F06B7"/>
    <w:rsid w:val="4C593978"/>
    <w:rsid w:val="4D283E1B"/>
    <w:rsid w:val="4DE8390E"/>
    <w:rsid w:val="4E9B5659"/>
    <w:rsid w:val="5118196D"/>
    <w:rsid w:val="53461290"/>
    <w:rsid w:val="539225A0"/>
    <w:rsid w:val="584A6A38"/>
    <w:rsid w:val="58CC3495"/>
    <w:rsid w:val="593D5F55"/>
    <w:rsid w:val="595E7496"/>
    <w:rsid w:val="5A094846"/>
    <w:rsid w:val="5BA85116"/>
    <w:rsid w:val="5C33722C"/>
    <w:rsid w:val="5C9F78A1"/>
    <w:rsid w:val="5D202794"/>
    <w:rsid w:val="5DB94CAE"/>
    <w:rsid w:val="5E0241CC"/>
    <w:rsid w:val="5E1902B2"/>
    <w:rsid w:val="5E5F0BBA"/>
    <w:rsid w:val="5FEF00B1"/>
    <w:rsid w:val="60395EE3"/>
    <w:rsid w:val="6064056B"/>
    <w:rsid w:val="609F5822"/>
    <w:rsid w:val="61166B63"/>
    <w:rsid w:val="61D94C3A"/>
    <w:rsid w:val="61E46DAE"/>
    <w:rsid w:val="627B4811"/>
    <w:rsid w:val="63AB342D"/>
    <w:rsid w:val="63B76C4A"/>
    <w:rsid w:val="64DE3381"/>
    <w:rsid w:val="65B206C3"/>
    <w:rsid w:val="65F16BE4"/>
    <w:rsid w:val="670C6C20"/>
    <w:rsid w:val="67393CEC"/>
    <w:rsid w:val="674E7966"/>
    <w:rsid w:val="675C06DF"/>
    <w:rsid w:val="67BD18E2"/>
    <w:rsid w:val="680F1120"/>
    <w:rsid w:val="69946464"/>
    <w:rsid w:val="6C854FD8"/>
    <w:rsid w:val="6CD31C15"/>
    <w:rsid w:val="6D2F0D6B"/>
    <w:rsid w:val="6F6006ED"/>
    <w:rsid w:val="6F8D0C54"/>
    <w:rsid w:val="6FB15510"/>
    <w:rsid w:val="70725566"/>
    <w:rsid w:val="70AD3959"/>
    <w:rsid w:val="72BB2A3F"/>
    <w:rsid w:val="73561258"/>
    <w:rsid w:val="735B5A40"/>
    <w:rsid w:val="73C81064"/>
    <w:rsid w:val="748E16D2"/>
    <w:rsid w:val="755172AA"/>
    <w:rsid w:val="75874FFB"/>
    <w:rsid w:val="75CA6A65"/>
    <w:rsid w:val="768A643C"/>
    <w:rsid w:val="76F47A47"/>
    <w:rsid w:val="78D072A3"/>
    <w:rsid w:val="7984069C"/>
    <w:rsid w:val="7A910E1C"/>
    <w:rsid w:val="7AC86803"/>
    <w:rsid w:val="7CE32B3E"/>
    <w:rsid w:val="7D363492"/>
    <w:rsid w:val="7E1D072E"/>
    <w:rsid w:val="7E2E41E4"/>
    <w:rsid w:val="7FAC4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23"/>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Indent"/>
    <w:basedOn w:val="1"/>
    <w:link w:val="18"/>
    <w:qFormat/>
    <w:uiPriority w:val="0"/>
    <w:pPr>
      <w:spacing w:line="560" w:lineRule="exact"/>
      <w:ind w:firstLine="640" w:firstLineChars="200"/>
    </w:pPr>
    <w:rPr>
      <w:sz w:val="32"/>
    </w:rPr>
  </w:style>
  <w:style w:type="paragraph" w:styleId="6">
    <w:name w:val="Body Text Indent 2"/>
    <w:basedOn w:val="1"/>
    <w:link w:val="19"/>
    <w:qFormat/>
    <w:uiPriority w:val="0"/>
    <w:pPr>
      <w:ind w:left="420" w:leftChars="200" w:firstLine="560" w:firstLineChars="200"/>
    </w:pPr>
    <w:rPr>
      <w:rFonts w:ascii="宋体" w:hAnsi="宋体"/>
      <w:sz w:val="28"/>
    </w:rPr>
  </w:style>
  <w:style w:type="paragraph" w:styleId="7">
    <w:name w:val="footer"/>
    <w:basedOn w:val="1"/>
    <w:link w:val="22"/>
    <w:semiHidden/>
    <w:unhideWhenUsed/>
    <w:qFormat/>
    <w:uiPriority w:val="99"/>
    <w:pPr>
      <w:tabs>
        <w:tab w:val="center" w:pos="4153"/>
        <w:tab w:val="right" w:pos="8306"/>
      </w:tabs>
      <w:snapToGrid w:val="0"/>
      <w:jc w:val="left"/>
    </w:pPr>
    <w:rPr>
      <w:sz w:val="18"/>
      <w:szCs w:val="18"/>
    </w:rPr>
  </w:style>
  <w:style w:type="paragraph" w:styleId="8">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line="420" w:lineRule="exact"/>
      <w:ind w:firstLine="480" w:firstLineChars="200"/>
      <w:jc w:val="left"/>
    </w:pPr>
    <w:rPr>
      <w:rFonts w:ascii="Calibri" w:hAnsi="Calibri"/>
      <w:kern w:val="0"/>
      <w:sz w:val="24"/>
    </w:rPr>
  </w:style>
  <w:style w:type="table" w:styleId="11">
    <w:name w:val="Table Grid"/>
    <w:basedOn w:val="10"/>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TML Typewriter"/>
    <w:basedOn w:val="12"/>
    <w:qFormat/>
    <w:uiPriority w:val="0"/>
    <w:rPr>
      <w:rFonts w:ascii="黑体" w:hAnsi="Courier New" w:eastAsia="黑体" w:cs="彩虹粗仿宋"/>
      <w:spacing w:val="312"/>
      <w:sz w:val="18"/>
      <w:szCs w:val="18"/>
    </w:rPr>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styleId="17">
    <w:name w:val="List Paragraph"/>
    <w:basedOn w:val="1"/>
    <w:qFormat/>
    <w:uiPriority w:val="34"/>
    <w:pPr>
      <w:spacing w:line="420" w:lineRule="exact"/>
      <w:ind w:firstLine="420" w:firstLineChars="200"/>
    </w:pPr>
    <w:rPr>
      <w:rFonts w:ascii="宋体" w:hAnsi="宋体" w:cstheme="minorBidi"/>
      <w:sz w:val="24"/>
    </w:rPr>
  </w:style>
  <w:style w:type="character" w:customStyle="1" w:styleId="18">
    <w:name w:val="正文文本缩进 Char"/>
    <w:basedOn w:val="12"/>
    <w:link w:val="5"/>
    <w:qFormat/>
    <w:uiPriority w:val="0"/>
    <w:rPr>
      <w:rFonts w:ascii="Times New Roman" w:hAnsi="Times New Roman" w:eastAsia="宋体" w:cs="Times New Roman"/>
      <w:sz w:val="32"/>
      <w:szCs w:val="24"/>
    </w:rPr>
  </w:style>
  <w:style w:type="character" w:customStyle="1" w:styleId="19">
    <w:name w:val="正文文本缩进 2 Char"/>
    <w:basedOn w:val="12"/>
    <w:link w:val="6"/>
    <w:qFormat/>
    <w:uiPriority w:val="0"/>
    <w:rPr>
      <w:rFonts w:ascii="宋体" w:hAnsi="宋体" w:eastAsia="宋体" w:cs="Times New Roman"/>
      <w:sz w:val="28"/>
      <w:szCs w:val="24"/>
    </w:rPr>
  </w:style>
  <w:style w:type="paragraph" w:customStyle="1" w:styleId="20">
    <w:name w:val="p0"/>
    <w:basedOn w:val="1"/>
    <w:qFormat/>
    <w:uiPriority w:val="0"/>
    <w:pPr>
      <w:widowControl/>
    </w:pPr>
    <w:rPr>
      <w:kern w:val="0"/>
      <w:szCs w:val="21"/>
    </w:rPr>
  </w:style>
  <w:style w:type="character" w:customStyle="1" w:styleId="21">
    <w:name w:val="页眉 Char"/>
    <w:basedOn w:val="12"/>
    <w:link w:val="8"/>
    <w:semiHidden/>
    <w:qFormat/>
    <w:uiPriority w:val="99"/>
    <w:rPr>
      <w:rFonts w:ascii="Times New Roman" w:hAnsi="Times New Roman" w:eastAsia="宋体" w:cs="Times New Roman"/>
      <w:sz w:val="18"/>
      <w:szCs w:val="18"/>
    </w:rPr>
  </w:style>
  <w:style w:type="character" w:customStyle="1" w:styleId="22">
    <w:name w:val="页脚 Char"/>
    <w:basedOn w:val="12"/>
    <w:link w:val="7"/>
    <w:semiHidden/>
    <w:qFormat/>
    <w:uiPriority w:val="99"/>
    <w:rPr>
      <w:rFonts w:ascii="Times New Roman" w:hAnsi="Times New Roman" w:eastAsia="宋体" w:cs="Times New Roman"/>
      <w:sz w:val="18"/>
      <w:szCs w:val="18"/>
    </w:rPr>
  </w:style>
  <w:style w:type="character" w:customStyle="1" w:styleId="23">
    <w:name w:val="标题 3 Char"/>
    <w:basedOn w:val="12"/>
    <w:link w:val="3"/>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1298</Words>
  <Characters>7403</Characters>
  <Lines>61</Lines>
  <Paragraphs>17</Paragraphs>
  <TotalTime>15</TotalTime>
  <ScaleCrop>false</ScaleCrop>
  <LinksUpToDate>false</LinksUpToDate>
  <CharactersWithSpaces>8684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2020-11-17T12:24:00Z</dcterms:created>
  <dc:creator>dell-01</dc:creator>
  <cp:lastModifiedBy>lenovo</cp:lastModifiedBy>
  <dcterms:modified xsi:type="dcterms:W3CDTF">2023-12-25T08:45:43Z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