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宋体" w:eastAsia="方正小标宋简体"/>
          <w:bCs/>
          <w:w w:val="95"/>
          <w:sz w:val="44"/>
          <w:szCs w:val="44"/>
        </w:rPr>
      </w:pPr>
    </w:p>
    <w:p>
      <w:pPr>
        <w:spacing w:line="560" w:lineRule="exact"/>
        <w:jc w:val="center"/>
        <w:rPr>
          <w:rFonts w:ascii="方正小标宋简体" w:hAnsi="宋体" w:eastAsia="方正小标宋简体"/>
          <w:bCs/>
          <w:w w:val="95"/>
          <w:sz w:val="44"/>
          <w:szCs w:val="44"/>
        </w:rPr>
      </w:pPr>
      <w:r>
        <w:rPr>
          <w:rFonts w:hint="eastAsia" w:ascii="方正小标宋简体" w:hAnsi="宋体" w:eastAsia="方正小标宋简体"/>
          <w:bCs/>
          <w:w w:val="95"/>
          <w:sz w:val="44"/>
          <w:szCs w:val="44"/>
        </w:rPr>
        <w:t>股权及债权转让合同</w:t>
      </w:r>
    </w:p>
    <w:p>
      <w:pPr>
        <w:spacing w:line="560" w:lineRule="exact"/>
        <w:jc w:val="center"/>
        <w:rPr>
          <w:rFonts w:ascii="仿宋_GB2312" w:hAnsi="宋体" w:eastAsia="仿宋_GB2312"/>
          <w:bCs/>
          <w:w w:val="95"/>
          <w:sz w:val="28"/>
          <w:szCs w:val="28"/>
        </w:rPr>
      </w:pPr>
      <w:r>
        <w:rPr>
          <w:rFonts w:hint="eastAsia" w:ascii="仿宋_GB2312" w:hAnsi="宋体" w:eastAsia="仿宋_GB2312"/>
          <w:bCs/>
          <w:w w:val="95"/>
          <w:sz w:val="28"/>
          <w:szCs w:val="28"/>
        </w:rPr>
        <w:t xml:space="preserve">合同编号： </w:t>
      </w:r>
    </w:p>
    <w:p>
      <w:pPr>
        <w:spacing w:line="560" w:lineRule="exact"/>
        <w:ind w:firstLine="608" w:firstLineChars="200"/>
        <w:rPr>
          <w:rFonts w:ascii="仿宋_GB2312" w:hAnsi="宋体" w:eastAsia="仿宋_GB2312"/>
          <w:bCs/>
          <w:w w:val="95"/>
          <w:sz w:val="32"/>
          <w:szCs w:val="32"/>
          <w:u w:val="single"/>
        </w:rPr>
      </w:pPr>
    </w:p>
    <w:p>
      <w:pPr>
        <w:spacing w:line="560" w:lineRule="exact"/>
        <w:rPr>
          <w:rFonts w:ascii="仿宋_GB2312" w:hAnsi="宋体" w:eastAsia="仿宋_GB2312"/>
          <w:bCs/>
          <w:sz w:val="32"/>
          <w:szCs w:val="32"/>
        </w:rPr>
      </w:pPr>
      <w:r>
        <w:rPr>
          <w:rFonts w:hint="eastAsia" w:ascii="仿宋_GB2312" w:hAnsi="宋体" w:eastAsia="仿宋_GB2312"/>
          <w:bCs/>
          <w:sz w:val="32"/>
          <w:szCs w:val="32"/>
        </w:rPr>
        <w:t>甲方（</w:t>
      </w:r>
      <w:r>
        <w:rPr>
          <w:rFonts w:hint="eastAsia" w:ascii="仿宋_GB2312" w:hAnsi="宋体" w:eastAsia="仿宋_GB2312"/>
          <w:bCs/>
          <w:sz w:val="32"/>
          <w:szCs w:val="32"/>
          <w:lang w:val="en-US" w:eastAsia="zh-CN"/>
        </w:rPr>
        <w:t>转</w:t>
      </w:r>
      <w:r>
        <w:rPr>
          <w:rFonts w:hint="eastAsia" w:ascii="仿宋_GB2312" w:hAnsi="宋体" w:eastAsia="仿宋_GB2312"/>
          <w:bCs/>
          <w:sz w:val="32"/>
          <w:szCs w:val="32"/>
        </w:rPr>
        <w:t>让方）：龙岩矿业发展有限公司</w:t>
      </w:r>
    </w:p>
    <w:p>
      <w:pPr>
        <w:spacing w:line="560" w:lineRule="exact"/>
        <w:ind w:left="994" w:hanging="994" w:hangingChars="350"/>
        <w:rPr>
          <w:rFonts w:ascii="仿宋_GB2312" w:hAnsi="宋体" w:eastAsia="仿宋_GB2312" w:cs="宋体"/>
          <w:spacing w:val="-18"/>
          <w:sz w:val="32"/>
          <w:szCs w:val="32"/>
        </w:rPr>
      </w:pPr>
      <w:r>
        <w:rPr>
          <w:rFonts w:hint="eastAsia" w:ascii="仿宋_GB2312" w:hAnsi="宋体" w:eastAsia="仿宋_GB2312" w:cs="宋体"/>
          <w:spacing w:val="-18"/>
          <w:sz w:val="32"/>
          <w:szCs w:val="32"/>
        </w:rPr>
        <w:t>住所： 福建省龙岩市新罗区西陂街道华莲社区龙岩大道中260号K幢601室</w:t>
      </w:r>
    </w:p>
    <w:p>
      <w:pPr>
        <w:spacing w:line="560" w:lineRule="exact"/>
        <w:rPr>
          <w:rFonts w:ascii="仿宋_GB2312" w:hAnsi="宋体" w:eastAsia="仿宋_GB2312" w:cs="宋体"/>
          <w:sz w:val="32"/>
          <w:szCs w:val="32"/>
          <w:u w:val="single"/>
        </w:rPr>
      </w:pPr>
      <w:r>
        <w:rPr>
          <w:rFonts w:hint="eastAsia" w:ascii="仿宋_GB2312" w:hAnsi="宋体" w:eastAsia="仿宋_GB2312" w:cs="宋体"/>
          <w:sz w:val="32"/>
          <w:szCs w:val="32"/>
        </w:rPr>
        <w:t xml:space="preserve">法定代表人：谢礼增  </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联系人： 陈群贤         邮政编码： 364000</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联系电话： 15206000123  传真：</w:t>
      </w:r>
    </w:p>
    <w:p>
      <w:pPr>
        <w:spacing w:line="560" w:lineRule="exact"/>
        <w:ind w:firstLine="640" w:firstLineChars="200"/>
        <w:rPr>
          <w:rFonts w:ascii="仿宋_GB2312" w:hAnsi="宋体" w:eastAsia="仿宋_GB2312"/>
          <w:sz w:val="32"/>
          <w:szCs w:val="32"/>
        </w:rPr>
      </w:pPr>
    </w:p>
    <w:p>
      <w:pPr>
        <w:autoSpaceDN w:val="0"/>
        <w:spacing w:line="560" w:lineRule="exact"/>
        <w:rPr>
          <w:rFonts w:ascii="仿宋_GB2312" w:hAnsi="宋体" w:eastAsia="仿宋_GB2312"/>
          <w:bCs/>
          <w:sz w:val="32"/>
          <w:szCs w:val="32"/>
        </w:rPr>
      </w:pPr>
      <w:r>
        <w:rPr>
          <w:rFonts w:hint="eastAsia" w:ascii="仿宋_GB2312" w:hAnsi="宋体" w:eastAsia="仿宋_GB2312"/>
          <w:bCs/>
          <w:sz w:val="32"/>
          <w:szCs w:val="32"/>
        </w:rPr>
        <w:t>乙方（受让方）：</w:t>
      </w:r>
    </w:p>
    <w:p>
      <w:pPr>
        <w:autoSpaceDN w:val="0"/>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住所： </w:t>
      </w:r>
    </w:p>
    <w:p>
      <w:pPr>
        <w:autoSpaceDN w:val="0"/>
        <w:spacing w:line="560" w:lineRule="exact"/>
        <w:rPr>
          <w:rFonts w:ascii="仿宋_GB2312" w:hAnsi="宋体" w:eastAsia="仿宋_GB2312" w:cs="宋体"/>
          <w:sz w:val="32"/>
          <w:szCs w:val="32"/>
        </w:rPr>
      </w:pPr>
      <w:r>
        <w:rPr>
          <w:rFonts w:hint="eastAsia" w:ascii="仿宋_GB2312" w:hAnsi="宋体" w:eastAsia="仿宋_GB2312" w:cs="宋体"/>
          <w:sz w:val="32"/>
          <w:szCs w:val="32"/>
        </w:rPr>
        <w:t>法定代表人：</w:t>
      </w:r>
    </w:p>
    <w:p>
      <w:pPr>
        <w:autoSpaceDN w:val="0"/>
        <w:spacing w:line="560" w:lineRule="exact"/>
        <w:rPr>
          <w:rFonts w:ascii="仿宋_GB2312" w:hAnsi="宋体" w:eastAsia="仿宋_GB2312" w:cs="宋体"/>
          <w:sz w:val="32"/>
          <w:szCs w:val="32"/>
        </w:rPr>
      </w:pPr>
      <w:r>
        <w:rPr>
          <w:rFonts w:hint="eastAsia" w:ascii="仿宋_GB2312" w:hAnsi="宋体" w:eastAsia="仿宋_GB2312" w:cs="宋体"/>
          <w:sz w:val="32"/>
          <w:szCs w:val="32"/>
        </w:rPr>
        <w:t>联系人：                 邮政编码：</w:t>
      </w:r>
    </w:p>
    <w:p>
      <w:pPr>
        <w:autoSpaceDN w:val="0"/>
        <w:spacing w:line="560" w:lineRule="exact"/>
        <w:rPr>
          <w:rFonts w:ascii="仿宋_GB2312" w:hAnsi="宋体" w:eastAsia="仿宋_GB2312"/>
          <w:sz w:val="32"/>
          <w:szCs w:val="32"/>
        </w:rPr>
      </w:pPr>
      <w:r>
        <w:rPr>
          <w:rFonts w:hint="eastAsia" w:ascii="仿宋_GB2312" w:hAnsi="宋体" w:eastAsia="仿宋_GB2312" w:cs="宋体"/>
          <w:sz w:val="32"/>
          <w:szCs w:val="32"/>
        </w:rPr>
        <w:t>联系电话：               传真：</w:t>
      </w:r>
    </w:p>
    <w:p>
      <w:pPr>
        <w:autoSpaceDN w:val="0"/>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甲、乙双方就龙岩北山煤矿有限责任公司（以下简称“北矿公司”）100%股权及甲方持有北矿公司的债权转让事宜，本着自愿、平等、公平、诚实信用的原则，经协商一致，达成如下协议：</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一、转让标的和转让价款</w:t>
      </w:r>
    </w:p>
    <w:p>
      <w:pPr>
        <w:widowControl/>
        <w:shd w:val="clear" w:color="auto" w:fill="FFFFFF"/>
        <w:spacing w:line="560" w:lineRule="exact"/>
        <w:ind w:firstLine="640" w:firstLineChars="200"/>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color="auto" w:fill="FFFFFF"/>
        </w:rPr>
        <w:t>标的1：龙岩北山煤矿有限责任公司100%股权</w:t>
      </w:r>
      <w:r>
        <w:rPr>
          <w:rFonts w:hint="eastAsia" w:ascii="仿宋_GB2312" w:hAnsi="仿宋_GB2312" w:eastAsia="仿宋_GB2312" w:cs="仿宋_GB2312"/>
          <w:color w:val="111111"/>
          <w:kern w:val="0"/>
          <w:sz w:val="32"/>
          <w:szCs w:val="32"/>
          <w:shd w:val="clear" w:color="auto" w:fill="FFFFFF"/>
        </w:rPr>
        <w:t>。</w:t>
      </w:r>
    </w:p>
    <w:p>
      <w:pPr>
        <w:pStyle w:val="8"/>
        <w:shd w:val="clear" w:color="auto" w:fill="FFFFFF"/>
        <w:spacing w:before="0" w:beforeAutospacing="0" w:after="0" w:afterAutospacing="0" w:line="560" w:lineRule="exact"/>
        <w:ind w:left="319" w:leftChars="152" w:firstLine="320" w:firstLineChars="100"/>
        <w:rPr>
          <w:rFonts w:ascii="仿宋_GB2312" w:hAnsi="仿宋_GB2312" w:eastAsia="仿宋_GB2312" w:cs="仿宋_GB2312"/>
          <w:color w:val="111111"/>
          <w:sz w:val="32"/>
          <w:szCs w:val="32"/>
          <w:shd w:val="clear" w:color="auto" w:fill="FFFFFF"/>
        </w:rPr>
      </w:pPr>
      <w:r>
        <w:rPr>
          <w:rFonts w:hint="eastAsia" w:ascii="仿宋_GB2312" w:hAnsi="仿宋_GB2312" w:eastAsia="仿宋_GB2312" w:cs="仿宋_GB2312"/>
          <w:color w:val="111111"/>
          <w:sz w:val="32"/>
          <w:szCs w:val="32"/>
          <w:shd w:val="clear" w:color="auto" w:fill="FFFFFF"/>
        </w:rPr>
        <w:t>标的2：</w:t>
      </w:r>
      <w:r>
        <w:rPr>
          <w:rFonts w:hint="eastAsia" w:ascii="仿宋_GB2312" w:hAnsi="仿宋_GB2312" w:eastAsia="仿宋_GB2312" w:cs="仿宋_GB2312"/>
          <w:color w:val="111111"/>
          <w:sz w:val="32"/>
          <w:szCs w:val="32"/>
          <w:shd w:val="clear" w:color="auto" w:fill="FFFFFF"/>
          <w:lang w:val="en-US" w:eastAsia="zh-CN"/>
        </w:rPr>
        <w:t>甲方</w:t>
      </w:r>
      <w:r>
        <w:rPr>
          <w:rFonts w:hint="eastAsia" w:ascii="仿宋_GB2312" w:hAnsi="仿宋_GB2312" w:eastAsia="仿宋_GB2312" w:cs="仿宋_GB2312"/>
          <w:color w:val="111111"/>
          <w:sz w:val="32"/>
          <w:szCs w:val="32"/>
          <w:shd w:val="clear" w:color="auto" w:fill="FFFFFF"/>
        </w:rPr>
        <w:t>持有的龙岩北山煤矿有限责任公司</w:t>
      </w:r>
      <w:r>
        <w:rPr>
          <w:rFonts w:hint="eastAsia" w:ascii="仿宋_GB2312" w:hAnsi="仿宋_GB2312" w:eastAsia="仿宋_GB2312" w:cs="仿宋_GB2312"/>
          <w:color w:val="111111"/>
          <w:sz w:val="32"/>
          <w:szCs w:val="32"/>
          <w:shd w:val="clear" w:color="auto" w:fill="FFFFFF"/>
          <w:lang w:val="en-US" w:eastAsia="zh-CN"/>
        </w:rPr>
        <w:t xml:space="preserve">  </w:t>
      </w:r>
      <w:r>
        <w:rPr>
          <w:rFonts w:hint="eastAsia" w:ascii="仿宋_GB2312" w:hAnsi="仿宋_GB2312" w:eastAsia="仿宋_GB2312" w:cs="仿宋_GB2312"/>
          <w:i w:val="0"/>
          <w:iCs w:val="0"/>
          <w:caps w:val="0"/>
          <w:color w:val="111111"/>
          <w:spacing w:val="0"/>
          <w:sz w:val="32"/>
          <w:szCs w:val="32"/>
          <w:highlight w:val="none"/>
          <w:shd w:val="clear" w:color="auto" w:fill="FFFFFF"/>
          <w:lang w:val="en-US" w:eastAsia="zh-CN"/>
        </w:rPr>
        <w:t>156,023,634.90</w:t>
      </w:r>
      <w:r>
        <w:rPr>
          <w:rFonts w:hint="eastAsia" w:ascii="仿宋_GB2312" w:hAnsi="仿宋_GB2312" w:eastAsia="仿宋_GB2312" w:cs="仿宋_GB2312"/>
          <w:i w:val="0"/>
          <w:iCs w:val="0"/>
          <w:caps w:val="0"/>
          <w:color w:val="111111"/>
          <w:spacing w:val="0"/>
          <w:sz w:val="32"/>
          <w:szCs w:val="32"/>
          <w:shd w:val="clear" w:color="auto" w:fill="FFFFFF"/>
        </w:rPr>
        <w:t>元</w:t>
      </w:r>
      <w:r>
        <w:rPr>
          <w:rFonts w:hint="eastAsia" w:ascii="仿宋_GB2312" w:hAnsi="仿宋_GB2312" w:eastAsia="仿宋_GB2312" w:cs="仿宋_GB2312"/>
          <w:color w:val="111111"/>
          <w:sz w:val="32"/>
          <w:szCs w:val="32"/>
          <w:shd w:val="clear" w:color="auto" w:fill="FFFFFF"/>
        </w:rPr>
        <w:t>债权。</w:t>
      </w:r>
    </w:p>
    <w:p>
      <w:pPr>
        <w:pStyle w:val="8"/>
        <w:shd w:val="clear" w:color="auto" w:fill="FFFFFF"/>
        <w:spacing w:before="0" w:beforeAutospacing="0" w:after="0" w:afterAutospacing="0" w:line="560" w:lineRule="exact"/>
        <w:ind w:firstLine="640" w:firstLineChars="200"/>
        <w:rPr>
          <w:rFonts w:ascii="仿宋_GB2312" w:hAnsi="仿宋_GB2312" w:eastAsia="仿宋_GB2312" w:cs="仿宋_GB2312"/>
          <w:color w:val="111111"/>
          <w:sz w:val="32"/>
          <w:szCs w:val="32"/>
          <w:shd w:val="clear" w:color="auto" w:fill="FFFFFF"/>
        </w:rPr>
      </w:pPr>
      <w:r>
        <w:rPr>
          <w:rFonts w:hint="eastAsia" w:ascii="仿宋_GB2312" w:hAnsi="仿宋_GB2312" w:eastAsia="仿宋_GB2312" w:cs="仿宋_GB2312"/>
          <w:color w:val="111111"/>
          <w:sz w:val="32"/>
          <w:szCs w:val="32"/>
          <w:shd w:val="clear" w:color="auto" w:fill="FFFFFF"/>
        </w:rPr>
        <w:t>前述标的以《转让公告》</w:t>
      </w:r>
      <w:r>
        <w:rPr>
          <w:rFonts w:hint="eastAsia" w:ascii="仿宋_GB2312" w:hAnsi="仿宋_GB2312" w:eastAsia="仿宋_GB2312" w:cs="仿宋_GB2312"/>
          <w:color w:val="111111"/>
          <w:sz w:val="32"/>
          <w:szCs w:val="32"/>
          <w:shd w:val="clear" w:color="auto" w:fill="FFFFFF"/>
          <w:lang w:val="en-US" w:eastAsia="zh-CN"/>
        </w:rPr>
        <w:t>、</w:t>
      </w:r>
      <w:r>
        <w:rPr>
          <w:rFonts w:hint="eastAsia" w:ascii="仿宋_GB2312" w:hAnsi="仿宋_GB2312" w:eastAsia="仿宋_GB2312" w:cs="仿宋_GB2312"/>
          <w:color w:val="111111"/>
          <w:sz w:val="32"/>
          <w:szCs w:val="32"/>
          <w:shd w:val="clear" w:color="auto" w:fill="FFFFFF"/>
        </w:rPr>
        <w:t>披露信息</w:t>
      </w:r>
      <w:r>
        <w:rPr>
          <w:rFonts w:hint="eastAsia" w:ascii="仿宋_GB2312" w:hAnsi="仿宋_GB2312" w:eastAsia="仿宋_GB2312" w:cs="仿宋_GB2312"/>
          <w:color w:val="111111"/>
          <w:sz w:val="32"/>
          <w:szCs w:val="32"/>
          <w:shd w:val="clear" w:color="auto" w:fill="FFFFFF"/>
          <w:lang w:val="en-US" w:eastAsia="zh-CN"/>
        </w:rPr>
        <w:t>及</w:t>
      </w:r>
      <w:r>
        <w:rPr>
          <w:rFonts w:hint="eastAsia" w:ascii="仿宋_GB2312" w:hAnsi="仿宋_GB2312" w:eastAsia="仿宋_GB2312" w:cs="仿宋_GB2312"/>
          <w:color w:val="111111"/>
          <w:sz w:val="32"/>
          <w:szCs w:val="32"/>
          <w:shd w:val="clear" w:color="auto" w:fill="FFFFFF"/>
        </w:rPr>
        <w:t>相关评估报告</w:t>
      </w:r>
      <w:r>
        <w:rPr>
          <w:rFonts w:hint="eastAsia" w:ascii="仿宋_GB2312" w:hAnsi="仿宋_GB2312" w:eastAsia="仿宋_GB2312" w:cs="仿宋_GB2312"/>
          <w:color w:val="111111"/>
          <w:sz w:val="32"/>
          <w:szCs w:val="32"/>
          <w:shd w:val="clear" w:color="auto" w:fill="FFFFFF"/>
          <w:lang w:val="en-US" w:eastAsia="zh-CN"/>
        </w:rPr>
        <w:t>等</w:t>
      </w:r>
      <w:r>
        <w:rPr>
          <w:rFonts w:hint="eastAsia" w:ascii="仿宋_GB2312" w:hAnsi="仿宋_GB2312" w:eastAsia="仿宋_GB2312" w:cs="仿宋_GB2312"/>
          <w:color w:val="111111"/>
          <w:sz w:val="32"/>
          <w:szCs w:val="32"/>
          <w:shd w:val="clear" w:color="auto" w:fill="FFFFFF"/>
        </w:rPr>
        <w:t>载明内容为准。乙方签订本合同前已经充分阅读有关文件并根据自身需求开展尽调，对标的信息充分知悉。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根据龙岩市人民政府        文件批复，甲方将持有的北矿公司100%的股权及债权委托龙岩市产权交易中心有限公司（以下简称“产权交易中心”）公开转让。甲方同意按产权交易中心经公开竞价确认的成交价格人民币（￥）</w:t>
      </w:r>
      <w:r>
        <w:rPr>
          <w:rFonts w:ascii="仿宋_GB2312" w:hAnsi="宋体" w:eastAsia="仿宋_GB2312"/>
          <w:sz w:val="32"/>
          <w:szCs w:val="32"/>
          <w:u w:val="single"/>
        </w:rPr>
        <w:t xml:space="preserve">       </w:t>
      </w:r>
      <w:r>
        <w:rPr>
          <w:rFonts w:hint="eastAsia" w:ascii="仿宋_GB2312" w:hAnsi="宋体" w:eastAsia="仿宋_GB2312"/>
          <w:sz w:val="32"/>
          <w:szCs w:val="32"/>
        </w:rPr>
        <w:t>元将持有的北矿公司100%的股权及债权转让给乙方，乙方同意按此价格受让。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本合同生效后，甲方收到产权交易中心确认的全部转让价款之日起，乙方即享有</w:t>
      </w:r>
      <w:r>
        <w:rPr>
          <w:rFonts w:hint="eastAsia" w:ascii="仿宋_GB2312" w:hAnsi="宋体" w:eastAsia="仿宋_GB2312"/>
          <w:sz w:val="32"/>
          <w:szCs w:val="32"/>
        </w:rPr>
        <w:t>北矿公司100%的股权及</w:t>
      </w:r>
      <w:r>
        <w:rPr>
          <w:rFonts w:hint="eastAsia" w:ascii="仿宋_GB2312" w:hAnsi="宋体" w:eastAsia="仿宋_GB2312"/>
          <w:sz w:val="32"/>
          <w:szCs w:val="32"/>
          <w:lang w:val="en-US" w:eastAsia="zh-CN"/>
        </w:rPr>
        <w:t>甲</w:t>
      </w:r>
      <w:r>
        <w:rPr>
          <w:rFonts w:hint="eastAsia" w:ascii="仿宋_GB2312" w:hAnsi="仿宋_GB2312" w:eastAsia="仿宋_GB2312" w:cs="仿宋_GB2312"/>
          <w:i w:val="0"/>
          <w:iCs w:val="0"/>
          <w:caps w:val="0"/>
          <w:color w:val="111111"/>
          <w:spacing w:val="0"/>
          <w:sz w:val="32"/>
          <w:szCs w:val="32"/>
          <w:shd w:val="clear" w:color="auto" w:fill="FFFFFF"/>
        </w:rPr>
        <w:t>方持有的</w:t>
      </w:r>
      <w:r>
        <w:rPr>
          <w:rFonts w:hint="eastAsia" w:ascii="仿宋_GB2312" w:hAnsi="仿宋_GB2312" w:eastAsia="仿宋_GB2312" w:cs="仿宋_GB2312"/>
          <w:i w:val="0"/>
          <w:iCs w:val="0"/>
          <w:caps w:val="0"/>
          <w:color w:val="111111"/>
          <w:spacing w:val="0"/>
          <w:sz w:val="32"/>
          <w:szCs w:val="32"/>
          <w:shd w:val="clear" w:color="auto" w:fill="FFFFFF"/>
          <w:lang w:eastAsia="zh-CN"/>
        </w:rPr>
        <w:t>龙岩北山煤矿有限责任</w:t>
      </w:r>
      <w:r>
        <w:rPr>
          <w:rFonts w:hint="eastAsia" w:ascii="仿宋_GB2312" w:hAnsi="仿宋_GB2312" w:eastAsia="仿宋_GB2312" w:cs="仿宋_GB2312"/>
          <w:i w:val="0"/>
          <w:iCs w:val="0"/>
          <w:caps w:val="0"/>
          <w:color w:val="111111"/>
          <w:spacing w:val="0"/>
          <w:sz w:val="32"/>
          <w:szCs w:val="32"/>
          <w:shd w:val="clear" w:color="auto" w:fill="FFFFFF"/>
        </w:rPr>
        <w:t>公司</w:t>
      </w:r>
      <w:r>
        <w:rPr>
          <w:rFonts w:hint="eastAsia" w:ascii="仿宋_GB2312" w:hAnsi="仿宋_GB2312" w:eastAsia="仿宋_GB2312" w:cs="仿宋_GB2312"/>
          <w:color w:val="111111"/>
          <w:sz w:val="32"/>
          <w:szCs w:val="32"/>
          <w:shd w:val="clear" w:color="auto" w:fill="FFFFFF"/>
        </w:rPr>
        <w:t>人民币（￥）</w:t>
      </w:r>
      <w:r>
        <w:rPr>
          <w:rFonts w:hint="eastAsia" w:ascii="仿宋_GB2312" w:hAnsi="仿宋_GB2312" w:eastAsia="仿宋_GB2312" w:cs="仿宋_GB2312"/>
          <w:i w:val="0"/>
          <w:iCs w:val="0"/>
          <w:caps w:val="0"/>
          <w:color w:val="111111"/>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111111"/>
          <w:spacing w:val="0"/>
          <w:sz w:val="32"/>
          <w:szCs w:val="32"/>
          <w:highlight w:val="none"/>
          <w:shd w:val="clear" w:color="auto" w:fill="FFFFFF"/>
          <w:lang w:val="en-US" w:eastAsia="zh-CN"/>
        </w:rPr>
        <w:t>156,023,634.90</w:t>
      </w:r>
      <w:r>
        <w:rPr>
          <w:rFonts w:hint="eastAsia" w:ascii="仿宋_GB2312" w:hAnsi="仿宋_GB2312" w:eastAsia="仿宋_GB2312" w:cs="仿宋_GB2312"/>
          <w:i w:val="0"/>
          <w:iCs w:val="0"/>
          <w:caps w:val="0"/>
          <w:color w:val="111111"/>
          <w:spacing w:val="0"/>
          <w:sz w:val="32"/>
          <w:szCs w:val="32"/>
          <w:shd w:val="clear" w:color="auto" w:fill="FFFFFF"/>
        </w:rPr>
        <w:t>元债权</w:t>
      </w:r>
      <w:r>
        <w:rPr>
          <w:rFonts w:hint="eastAsia" w:ascii="仿宋_GB2312" w:eastAsia="仿宋_GB2312"/>
          <w:sz w:val="32"/>
          <w:szCs w:val="32"/>
        </w:rPr>
        <w:t>，并享有及承担</w:t>
      </w:r>
      <w:r>
        <w:rPr>
          <w:rFonts w:hint="eastAsia" w:ascii="仿宋_GB2312" w:hAnsi="宋体" w:eastAsia="仿宋_GB2312"/>
          <w:sz w:val="32"/>
          <w:szCs w:val="32"/>
        </w:rPr>
        <w:t>北矿公司</w:t>
      </w:r>
      <w:r>
        <w:rPr>
          <w:rFonts w:hint="eastAsia" w:ascii="仿宋_GB2312" w:eastAsia="仿宋_GB2312"/>
          <w:sz w:val="32"/>
          <w:szCs w:val="32"/>
        </w:rPr>
        <w:t>章程规定的股东所应享有及承担的权利义务。</w:t>
      </w:r>
    </w:p>
    <w:p>
      <w:pPr>
        <w:spacing w:line="560" w:lineRule="exact"/>
        <w:ind w:firstLine="640" w:firstLineChars="200"/>
        <w:rPr>
          <w:rFonts w:ascii="仿宋_GB2312" w:eastAsia="仿宋_GB2312"/>
          <w:sz w:val="32"/>
          <w:szCs w:val="32"/>
        </w:rPr>
      </w:pPr>
      <w:r>
        <w:rPr>
          <w:rFonts w:hint="eastAsia" w:ascii="黑体" w:hAnsi="宋体" w:eastAsia="黑体"/>
          <w:bCs/>
          <w:sz w:val="32"/>
          <w:szCs w:val="32"/>
        </w:rPr>
        <w:t>二、转让价款的支付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1.乙方同意在收到产权交易中心《成交确认书》当日将交易保证金人民币（￥）</w:t>
      </w:r>
      <w:r>
        <w:rPr>
          <w:rFonts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元</w:t>
      </w:r>
      <w:r>
        <w:rPr>
          <w:rFonts w:hint="eastAsia" w:ascii="仿宋_GB2312" w:hAnsi="宋体" w:eastAsia="仿宋_GB2312"/>
          <w:sz w:val="32"/>
          <w:szCs w:val="32"/>
        </w:rPr>
        <w:t>扣除交易服务费人民币（￥）</w:t>
      </w:r>
    </w:p>
    <w:p>
      <w:pPr>
        <w:spacing w:line="560" w:lineRule="exact"/>
        <w:rPr>
          <w:rFonts w:ascii="仿宋_GB2312" w:hAnsi="宋体" w:eastAsia="仿宋_GB2312"/>
          <w:sz w:val="32"/>
          <w:szCs w:val="32"/>
        </w:rPr>
      </w:pPr>
      <w:r>
        <w:rPr>
          <w:rFonts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元</w:t>
      </w:r>
      <w:r>
        <w:rPr>
          <w:rFonts w:hint="eastAsia" w:ascii="仿宋_GB2312" w:hAnsi="宋体" w:eastAsia="仿宋_GB2312"/>
          <w:sz w:val="32"/>
          <w:szCs w:val="32"/>
        </w:rPr>
        <w:t>后的余款人民币（￥）</w:t>
      </w:r>
      <w:r>
        <w:rPr>
          <w:rFonts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元</w:t>
      </w:r>
      <w:r>
        <w:rPr>
          <w:rFonts w:hint="eastAsia" w:ascii="仿宋_GB2312" w:hAnsi="宋体" w:eastAsia="仿宋_GB2312"/>
          <w:sz w:val="32"/>
          <w:szCs w:val="32"/>
        </w:rPr>
        <w:t>自动转为支付给甲方的股权及债权转让款；</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2.乙方同意在本合同生效之日起5个工作日内，支付给甲方股权及债权转让全部剩余款人民币（￥）</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ascii="仿宋_GB2312" w:hAnsi="宋体" w:eastAsia="仿宋_GB2312"/>
          <w:sz w:val="32"/>
          <w:szCs w:val="32"/>
        </w:rPr>
        <w:t>元</w:t>
      </w:r>
      <w:r>
        <w:rPr>
          <w:rFonts w:hint="eastAsia" w:ascii="仿宋_GB2312" w:hAnsi="宋体" w:eastAsia="仿宋_GB2312"/>
          <w:sz w:val="32"/>
          <w:szCs w:val="32"/>
        </w:rPr>
        <w:t>，并转入产权交易中心挂牌交易指定帐户</w:t>
      </w:r>
      <w:r>
        <w:rPr>
          <w:rFonts w:hint="eastAsia" w:ascii="仿宋_GB2312" w:hAnsi="宋体" w:eastAsia="仿宋_GB2312"/>
          <w:sz w:val="32"/>
          <w:szCs w:val="32"/>
          <w:lang w:eastAsia="zh-CN"/>
        </w:rPr>
        <w:t>。</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三、甲方陈述与保证事项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1.甲方系依据中国法律合法设立且有效存续的有限责任公司，完全具有签署及履行本合同的权利和能力。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2.甲方就股权及债权转让事宜已完成完整的审批程序，甲方的授权代表</w:t>
      </w:r>
      <w:r>
        <w:rPr>
          <w:rFonts w:hint="eastAsia" w:ascii="仿宋_GB2312" w:hAnsi="宋体" w:eastAsia="仿宋_GB2312"/>
          <w:sz w:val="32"/>
          <w:szCs w:val="32"/>
          <w:lang w:val="en-US" w:eastAsia="zh-CN"/>
        </w:rPr>
        <w:t>或法定代表人</w:t>
      </w:r>
      <w:r>
        <w:rPr>
          <w:rFonts w:hint="eastAsia" w:ascii="仿宋_GB2312" w:hAnsi="宋体" w:eastAsia="仿宋_GB2312"/>
          <w:sz w:val="32"/>
          <w:szCs w:val="32"/>
        </w:rPr>
        <w:t>享有完整、有效的权利能力和行为能力代表甲方签署本合同。</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甲方保证向乙方转让的股权及债权，享有完整的所有权和处分权，未就标的股权及债权设置转让、期权、保证、质押及其他形式的任何负担或限制,并免遭第三人追索，否则甲方应当承担由此产生的一切经济和法律责任。</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四、乙方陈述与保证事项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1.乙方系依据中国法律合法设立且有效存续的</w:t>
      </w:r>
      <w:r>
        <w:rPr>
          <w:rFonts w:hint="eastAsia" w:ascii="仿宋_GB2312" w:eastAsia="仿宋_GB2312" w:hAnsiTheme="minorEastAsia"/>
          <w:sz w:val="32"/>
          <w:szCs w:val="32"/>
        </w:rPr>
        <w:t>国内企业、其他组织或具有完全民事行为能力的自然人</w:t>
      </w:r>
      <w:r>
        <w:rPr>
          <w:rFonts w:hint="eastAsia" w:ascii="仿宋_GB2312" w:hAnsi="宋体" w:eastAsia="仿宋_GB2312"/>
          <w:sz w:val="32"/>
          <w:szCs w:val="32"/>
        </w:rPr>
        <w:t>，完全具有签署及履行本合同的权利和能力。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2.乙方就股权及债权转让事宜经由公司股东会、董事会讨论通过并已形成决议，并报获得政府及其相关监管部门许可、批准、授权（如有），乙方的授权代表</w:t>
      </w:r>
      <w:r>
        <w:rPr>
          <w:rFonts w:hint="eastAsia" w:ascii="仿宋_GB2312" w:hAnsi="宋体" w:eastAsia="仿宋_GB2312"/>
          <w:sz w:val="32"/>
          <w:szCs w:val="32"/>
          <w:lang w:val="en-US" w:eastAsia="zh-CN"/>
        </w:rPr>
        <w:t>或法定代表人</w:t>
      </w:r>
      <w:r>
        <w:rPr>
          <w:rFonts w:hint="eastAsia" w:ascii="仿宋_GB2312" w:hAnsi="宋体" w:eastAsia="仿宋_GB2312"/>
          <w:sz w:val="32"/>
          <w:szCs w:val="32"/>
        </w:rPr>
        <w:t>享有完整、有效的权利能力和行为能力代表乙方签署本合同，</w:t>
      </w:r>
      <w:bookmarkStart w:id="0" w:name="_GoBack"/>
      <w:bookmarkEnd w:id="0"/>
      <w:r>
        <w:rPr>
          <w:rFonts w:hint="eastAsia" w:ascii="仿宋_GB2312" w:hAnsi="宋体" w:eastAsia="仿宋_GB2312"/>
          <w:sz w:val="32"/>
          <w:szCs w:val="32"/>
        </w:rPr>
        <w:t>并保证受让该股权及债权能获得有权部门审批。</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五、税费负担</w:t>
      </w:r>
    </w:p>
    <w:p>
      <w:pPr>
        <w:pStyle w:val="18"/>
        <w:autoSpaceDN w:val="0"/>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股权及债权转让所产生之税费由甲方、乙方按法律规定各自承担</w:t>
      </w:r>
      <w:r>
        <w:rPr>
          <w:rFonts w:hint="eastAsia" w:ascii="仿宋_GB2312" w:eastAsia="仿宋_GB2312"/>
          <w:color w:val="111111"/>
          <w:sz w:val="32"/>
          <w:szCs w:val="32"/>
        </w:rPr>
        <w:t>；</w:t>
      </w:r>
      <w:r>
        <w:rPr>
          <w:rFonts w:hint="eastAsia" w:ascii="仿宋_GB2312" w:eastAsia="仿宋_GB2312"/>
          <w:sz w:val="32"/>
          <w:szCs w:val="32"/>
        </w:rPr>
        <w:t>北矿公司</w:t>
      </w:r>
      <w:r>
        <w:rPr>
          <w:rFonts w:hint="eastAsia" w:ascii="仿宋_GB2312" w:eastAsia="仿宋_GB2312"/>
          <w:color w:val="111111"/>
          <w:sz w:val="32"/>
          <w:szCs w:val="32"/>
        </w:rPr>
        <w:t>办理本次股权转让相关工商变更登记等手续所需费用，由乙方承担并支付</w:t>
      </w:r>
      <w:r>
        <w:rPr>
          <w:rFonts w:hint="eastAsia" w:ascii="仿宋_GB2312" w:eastAsia="仿宋_GB2312" w:cs="Times New Roman"/>
          <w:kern w:val="2"/>
          <w:sz w:val="32"/>
          <w:szCs w:val="32"/>
        </w:rPr>
        <w:t>。</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六、变更登记</w:t>
      </w:r>
    </w:p>
    <w:p>
      <w:pPr>
        <w:pStyle w:val="18"/>
        <w:autoSpaceDN w:val="0"/>
        <w:spacing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双方于转让款支付完毕后</w:t>
      </w:r>
      <w:r>
        <w:rPr>
          <w:rFonts w:hint="eastAsia" w:ascii="仿宋_GB2312" w:eastAsia="仿宋_GB2312" w:cs="Times New Roman"/>
          <w:kern w:val="2"/>
          <w:sz w:val="32"/>
          <w:szCs w:val="32"/>
          <w:lang w:val="en-US" w:eastAsia="zh-CN"/>
        </w:rPr>
        <w:t>10个工作</w:t>
      </w:r>
      <w:r>
        <w:rPr>
          <w:rFonts w:hint="eastAsia" w:ascii="仿宋_GB2312" w:eastAsia="仿宋_GB2312" w:cs="Times New Roman"/>
          <w:kern w:val="2"/>
          <w:sz w:val="32"/>
          <w:szCs w:val="32"/>
        </w:rPr>
        <w:t>日内完成标的股权的工商变更登记（备案）。</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七、违约责任</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本合同生效后，对各方均具有约束力，任何一方不得违反，否则，即构成违约行为，应当承担违约责任：</w:t>
      </w:r>
    </w:p>
    <w:p>
      <w:pPr>
        <w:pStyle w:val="3"/>
        <w:spacing w:line="560" w:lineRule="exact"/>
        <w:ind w:firstLine="640" w:firstLineChars="200"/>
        <w:rPr>
          <w:rFonts w:ascii="仿宋_GB2312" w:hAnsi="仿宋_GB2312" w:eastAsia="仿宋_GB2312" w:cs="仿宋_GB2312"/>
          <w:color w:val="111111"/>
          <w:sz w:val="32"/>
          <w:szCs w:val="32"/>
          <w:shd w:val="clear" w:color="auto" w:fill="FFFFFF"/>
        </w:rPr>
      </w:pPr>
      <w:r>
        <w:rPr>
          <w:rFonts w:hint="eastAsia" w:ascii="仿宋_GB2312" w:eastAsia="仿宋_GB2312"/>
          <w:sz w:val="32"/>
          <w:szCs w:val="32"/>
        </w:rPr>
        <w:t>1.乙方</w:t>
      </w:r>
      <w:r>
        <w:rPr>
          <w:rFonts w:hint="eastAsia" w:ascii="仿宋_GB2312" w:hAnsi="仿宋_GB2312" w:eastAsia="仿宋_GB2312" w:cs="仿宋_GB2312"/>
          <w:color w:val="111111"/>
          <w:sz w:val="32"/>
          <w:szCs w:val="32"/>
          <w:shd w:val="clear" w:color="auto" w:fill="FFFFFF"/>
        </w:rPr>
        <w:t>逾期支付</w:t>
      </w:r>
      <w:r>
        <w:rPr>
          <w:rFonts w:hint="eastAsia" w:ascii="仿宋_GB2312" w:hAnsi="仿宋_GB2312" w:eastAsia="仿宋_GB2312" w:cs="仿宋_GB2312"/>
          <w:color w:val="111111"/>
          <w:sz w:val="32"/>
          <w:szCs w:val="32"/>
          <w:shd w:val="clear" w:color="auto" w:fill="FFFFFF"/>
          <w:lang w:val="en-US" w:eastAsia="zh-CN"/>
        </w:rPr>
        <w:t>转让</w:t>
      </w:r>
      <w:r>
        <w:rPr>
          <w:rFonts w:hint="eastAsia" w:ascii="仿宋_GB2312" w:hAnsi="仿宋_GB2312" w:eastAsia="仿宋_GB2312" w:cs="仿宋_GB2312"/>
          <w:color w:val="111111"/>
          <w:sz w:val="32"/>
          <w:szCs w:val="32"/>
          <w:shd w:val="clear" w:color="auto" w:fill="FFFFFF"/>
        </w:rPr>
        <w:t>价款，每逾期一日应按逾期支付部分款项的0.5‰向甲方支付违约金，逾期超过10日的，甲方有权解除合同，并要求乙方支付合同总价</w:t>
      </w:r>
      <w:r>
        <w:rPr>
          <w:rFonts w:hint="eastAsia" w:ascii="仿宋_GB2312" w:hAnsi="仿宋_GB2312" w:eastAsia="仿宋_GB2312" w:cs="仿宋_GB2312"/>
          <w:color w:val="111111"/>
          <w:sz w:val="32"/>
          <w:szCs w:val="32"/>
          <w:shd w:val="clear" w:color="auto" w:fill="FFFFFF"/>
          <w:lang w:val="en-US" w:eastAsia="zh-CN"/>
        </w:rPr>
        <w:t>20</w:t>
      </w:r>
      <w:r>
        <w:rPr>
          <w:rFonts w:hint="eastAsia" w:ascii="仿宋_GB2312" w:hAnsi="仿宋_GB2312" w:eastAsia="仿宋_GB2312" w:cs="仿宋_GB2312"/>
          <w:color w:val="111111"/>
          <w:sz w:val="32"/>
          <w:szCs w:val="32"/>
          <w:shd w:val="clear" w:color="auto" w:fill="FFFFFF"/>
        </w:rPr>
        <w:t>%的违约金；</w:t>
      </w:r>
    </w:p>
    <w:p>
      <w:pPr>
        <w:pStyle w:val="3"/>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111111"/>
          <w:sz w:val="32"/>
          <w:szCs w:val="32"/>
          <w:shd w:val="clear" w:color="auto" w:fill="FFFFFF"/>
        </w:rPr>
        <w:t>2.任何一方不予配合办理变更登记手续的，每逾期一日应按</w:t>
      </w:r>
      <w:r>
        <w:rPr>
          <w:rFonts w:hint="eastAsia" w:ascii="仿宋_GB2312" w:hAnsi="仿宋_GB2312" w:eastAsia="仿宋_GB2312" w:cs="仿宋_GB2312"/>
          <w:color w:val="111111"/>
          <w:sz w:val="32"/>
          <w:szCs w:val="32"/>
          <w:shd w:val="clear" w:color="auto" w:fill="FFFFFF"/>
          <w:lang w:val="en-US" w:eastAsia="zh-CN"/>
        </w:rPr>
        <w:t>合同总价</w:t>
      </w:r>
      <w:r>
        <w:rPr>
          <w:rFonts w:hint="eastAsia" w:ascii="仿宋_GB2312" w:hAnsi="仿宋_GB2312" w:eastAsia="仿宋_GB2312" w:cs="仿宋_GB2312"/>
          <w:color w:val="111111"/>
          <w:sz w:val="32"/>
          <w:szCs w:val="32"/>
          <w:shd w:val="clear" w:color="auto" w:fill="FFFFFF"/>
        </w:rPr>
        <w:t>的</w:t>
      </w:r>
      <w:r>
        <w:rPr>
          <w:rFonts w:hint="eastAsia" w:ascii="仿宋_GB2312" w:hAnsi="仿宋_GB2312" w:eastAsia="仿宋_GB2312" w:cs="仿宋_GB2312"/>
          <w:color w:val="111111"/>
          <w:sz w:val="32"/>
          <w:szCs w:val="32"/>
          <w:shd w:val="clear" w:color="auto" w:fill="FFFFFF"/>
          <w:lang w:val="en-US" w:eastAsia="zh-CN"/>
        </w:rPr>
        <w:t>0.1</w:t>
      </w:r>
      <w:r>
        <w:rPr>
          <w:rFonts w:hint="eastAsia" w:ascii="仿宋_GB2312" w:hAnsi="仿宋_GB2312" w:eastAsia="仿宋_GB2312" w:cs="仿宋_GB2312"/>
          <w:color w:val="111111"/>
          <w:sz w:val="32"/>
          <w:szCs w:val="32"/>
          <w:shd w:val="clear" w:color="auto" w:fill="FFFFFF"/>
        </w:rPr>
        <w:t>‰向守约方支付违约金，逾期超过</w:t>
      </w:r>
      <w:r>
        <w:rPr>
          <w:rFonts w:hint="eastAsia" w:ascii="仿宋_GB2312" w:hAnsi="仿宋_GB2312" w:eastAsia="仿宋_GB2312" w:cs="仿宋_GB2312"/>
          <w:color w:val="111111"/>
          <w:sz w:val="32"/>
          <w:szCs w:val="32"/>
          <w:shd w:val="clear" w:color="auto" w:fill="FFFFFF"/>
          <w:lang w:val="en-US" w:eastAsia="zh-CN"/>
        </w:rPr>
        <w:t>30</w:t>
      </w:r>
      <w:r>
        <w:rPr>
          <w:rFonts w:hint="eastAsia" w:ascii="仿宋_GB2312" w:hAnsi="仿宋_GB2312" w:eastAsia="仿宋_GB2312" w:cs="仿宋_GB2312"/>
          <w:color w:val="111111"/>
          <w:sz w:val="32"/>
          <w:szCs w:val="32"/>
          <w:shd w:val="clear" w:color="auto" w:fill="FFFFFF"/>
        </w:rPr>
        <w:t>日的，守约方有权解除合同，并要求违约方支付合同总价</w:t>
      </w:r>
      <w:r>
        <w:rPr>
          <w:rFonts w:hint="eastAsia" w:ascii="仿宋_GB2312" w:hAnsi="仿宋_GB2312" w:eastAsia="仿宋_GB2312" w:cs="仿宋_GB2312"/>
          <w:color w:val="111111"/>
          <w:sz w:val="32"/>
          <w:szCs w:val="32"/>
          <w:shd w:val="clear" w:color="auto" w:fill="FFFFFF"/>
          <w:lang w:val="en-US" w:eastAsia="zh-CN"/>
        </w:rPr>
        <w:t>10</w:t>
      </w:r>
      <w:r>
        <w:rPr>
          <w:rFonts w:hint="eastAsia" w:ascii="仿宋_GB2312" w:hAnsi="仿宋_GB2312" w:eastAsia="仿宋_GB2312" w:cs="仿宋_GB2312"/>
          <w:color w:val="111111"/>
          <w:sz w:val="32"/>
          <w:szCs w:val="32"/>
          <w:shd w:val="clear" w:color="auto" w:fill="FFFFFF"/>
        </w:rPr>
        <w:t>%的违约金。</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前述约定不足以赔偿守约方损失的，违约方应继续赔偿因此给守约方造成的一切损失。</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守约方为主张权利所支出的费用（包括但不限于诉讼费、律师费、鉴定费等）由违约方承担。</w:t>
      </w:r>
    </w:p>
    <w:p>
      <w:pPr>
        <w:spacing w:line="560" w:lineRule="exact"/>
        <w:ind w:firstLine="640" w:firstLineChars="200"/>
        <w:rPr>
          <w:rFonts w:ascii="黑体" w:hAnsi="宋体" w:eastAsia="黑体"/>
          <w:bCs/>
          <w:sz w:val="32"/>
          <w:szCs w:val="32"/>
        </w:rPr>
      </w:pPr>
      <w:r>
        <w:rPr>
          <w:rFonts w:hint="eastAsia" w:ascii="黑体" w:hAnsi="宋体" w:eastAsia="黑体"/>
          <w:bCs/>
          <w:sz w:val="32"/>
          <w:szCs w:val="32"/>
        </w:rPr>
        <w:t>八、法律适用和争议解决</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1.本合同的订立、解释、效力等均适用</w:t>
      </w:r>
      <w:r>
        <w:rPr>
          <w:rFonts w:hint="eastAsia" w:ascii="仿宋_GB2312" w:eastAsia="仿宋_GB2312"/>
          <w:sz w:val="32"/>
          <w:szCs w:val="32"/>
          <w:lang w:eastAsia="zh-CN"/>
        </w:rPr>
        <w:t>《</w:t>
      </w:r>
      <w:r>
        <w:rPr>
          <w:rFonts w:hint="eastAsia" w:ascii="仿宋_GB2312" w:eastAsia="仿宋_GB2312"/>
          <w:sz w:val="32"/>
          <w:szCs w:val="32"/>
        </w:rPr>
        <w:t>中华人民共和国</w:t>
      </w:r>
      <w:r>
        <w:rPr>
          <w:rFonts w:hint="eastAsia" w:ascii="仿宋_GB2312" w:eastAsia="仿宋_GB2312"/>
          <w:sz w:val="32"/>
          <w:szCs w:val="32"/>
          <w:lang w:val="en-US" w:eastAsia="zh-CN"/>
        </w:rPr>
        <w:t>民法典》等法律</w:t>
      </w:r>
      <w:r>
        <w:rPr>
          <w:rFonts w:hint="eastAsia" w:ascii="仿宋_GB2312" w:eastAsia="仿宋_GB2312"/>
          <w:sz w:val="32"/>
          <w:szCs w:val="32"/>
        </w:rPr>
        <w:t>法</w:t>
      </w:r>
      <w:r>
        <w:rPr>
          <w:rFonts w:hint="eastAsia" w:ascii="仿宋_GB2312" w:eastAsia="仿宋_GB2312"/>
          <w:sz w:val="32"/>
          <w:szCs w:val="32"/>
          <w:lang w:eastAsia="zh-CN"/>
        </w:rPr>
        <w:t>规</w:t>
      </w:r>
      <w:r>
        <w:rPr>
          <w:rFonts w:hint="eastAsia" w:ascii="仿宋_GB2312" w:eastAsia="仿宋_GB2312"/>
          <w:sz w:val="32"/>
          <w:szCs w:val="32"/>
        </w:rPr>
        <w:t>。</w:t>
      </w:r>
    </w:p>
    <w:p>
      <w:pPr>
        <w:pStyle w:val="15"/>
        <w:tabs>
          <w:tab w:val="clear" w:pos="0"/>
          <w:tab w:val="clear" w:pos="1050"/>
        </w:tabs>
        <w:spacing w:beforeLines="0" w:afterLines="0" w:line="560" w:lineRule="exact"/>
        <w:ind w:left="0" w:firstLine="640" w:firstLineChars="200"/>
        <w:rPr>
          <w:rFonts w:ascii="仿宋_GB2312" w:eastAsia="仿宋_GB2312"/>
          <w:sz w:val="32"/>
          <w:szCs w:val="32"/>
        </w:rPr>
      </w:pPr>
      <w:r>
        <w:rPr>
          <w:rFonts w:hint="eastAsia" w:ascii="仿宋_GB2312" w:eastAsia="仿宋_GB2312"/>
          <w:sz w:val="32"/>
          <w:szCs w:val="32"/>
        </w:rPr>
        <w:t>2.凡因订立及履行本合同所产生的任何争议，双方应进行协商或调解；协商或调解不成的，双方约定由甲方所在地有管辖权的人民法院管辖。</w:t>
      </w:r>
    </w:p>
    <w:p>
      <w:pPr>
        <w:pStyle w:val="3"/>
        <w:spacing w:line="560" w:lineRule="exact"/>
        <w:ind w:firstLine="640" w:firstLineChars="200"/>
        <w:rPr>
          <w:rFonts w:ascii="黑体" w:eastAsia="黑体"/>
          <w:sz w:val="32"/>
          <w:szCs w:val="32"/>
        </w:rPr>
      </w:pPr>
      <w:r>
        <w:rPr>
          <w:rFonts w:hint="eastAsia" w:ascii="黑体" w:eastAsia="黑体"/>
          <w:sz w:val="32"/>
          <w:szCs w:val="32"/>
        </w:rPr>
        <w:t>九、合同生效及其他</w:t>
      </w:r>
    </w:p>
    <w:p>
      <w:pPr>
        <w:pStyle w:val="8"/>
        <w:widowControl/>
        <w:pBdr>
          <w:top w:val="none" w:color="auto" w:sz="0" w:space="0"/>
          <w:left w:val="none" w:color="auto" w:sz="0" w:space="0"/>
          <w:bottom w:val="none" w:color="auto" w:sz="0" w:space="0"/>
          <w:right w:val="none" w:color="auto" w:sz="0" w:space="0"/>
        </w:pBdr>
        <w:shd w:val="clear" w:color="auto" w:fill="FFFFFF"/>
        <w:ind w:firstLine="640" w:firstLineChars="200"/>
        <w:rPr>
          <w:rFonts w:hint="default" w:ascii="仿宋_GB2312" w:eastAsia="仿宋_GB2312"/>
          <w:sz w:val="32"/>
          <w:szCs w:val="32"/>
          <w:lang w:val="en-US" w:eastAsia="zh-CN"/>
        </w:rPr>
      </w:pPr>
      <w:r>
        <w:rPr>
          <w:rFonts w:hint="eastAsia" w:ascii="仿宋_GB2312" w:eastAsia="仿宋_GB2312"/>
          <w:color w:val="222222"/>
          <w:sz w:val="32"/>
          <w:szCs w:val="32"/>
        </w:rPr>
        <w:t>1.</w:t>
      </w:r>
      <w:r>
        <w:rPr>
          <w:rFonts w:hint="eastAsia" w:ascii="仿宋_GB2312" w:hAnsi="黑体" w:eastAsia="仿宋_GB2312"/>
          <w:sz w:val="32"/>
          <w:szCs w:val="32"/>
          <w:lang w:val="en-US" w:eastAsia="zh-CN"/>
        </w:rPr>
        <w:t>资产</w:t>
      </w:r>
      <w:r>
        <w:rPr>
          <w:rFonts w:hint="eastAsia" w:ascii="仿宋_GB2312" w:hAnsi="黑体" w:eastAsia="仿宋_GB2312"/>
          <w:sz w:val="32"/>
          <w:szCs w:val="32"/>
        </w:rPr>
        <w:t>评估基准日为2023年12月31日，</w:t>
      </w:r>
      <w:r>
        <w:rPr>
          <w:rFonts w:hint="eastAsia" w:ascii="仿宋_GB2312" w:hAnsi="黑体" w:eastAsia="仿宋_GB2312"/>
          <w:sz w:val="32"/>
          <w:szCs w:val="32"/>
          <w:lang w:val="en-US" w:eastAsia="zh-CN"/>
        </w:rPr>
        <w:t>资产</w:t>
      </w:r>
      <w:r>
        <w:rPr>
          <w:rFonts w:hint="eastAsia" w:ascii="仿宋_GB2312" w:hAnsi="黑体" w:eastAsia="仿宋_GB2312"/>
          <w:sz w:val="32"/>
          <w:szCs w:val="32"/>
        </w:rPr>
        <w:t>交易基准日为评估基准日。</w:t>
      </w:r>
      <w:r>
        <w:rPr>
          <w:rFonts w:hint="eastAsia" w:ascii="仿宋_GB2312" w:hAnsi="仿宋_GB2312" w:eastAsia="仿宋_GB2312" w:cs="仿宋_GB2312"/>
          <w:spacing w:val="15"/>
          <w:kern w:val="2"/>
          <w:sz w:val="32"/>
          <w:szCs w:val="32"/>
          <w:highlight w:val="none"/>
          <w:lang w:val="en-US" w:eastAsia="zh-CN" w:bidi="ar-SA"/>
        </w:rPr>
        <w:t>2024年1月1日起至</w:t>
      </w:r>
      <w:r>
        <w:rPr>
          <w:rFonts w:hint="eastAsia" w:ascii="仿宋_GB2312" w:hAnsi="仿宋_GB2312" w:eastAsia="仿宋_GB2312" w:cs="仿宋_GB2312"/>
          <w:color w:val="000000"/>
          <w:spacing w:val="15"/>
          <w:kern w:val="2"/>
          <w:sz w:val="32"/>
          <w:szCs w:val="32"/>
          <w:highlight w:val="none"/>
          <w:lang w:val="en-US" w:eastAsia="zh-CN" w:bidi="ar-SA"/>
        </w:rPr>
        <w:t>股权交割日（股权完成工商变更登记之日）</w:t>
      </w:r>
      <w:r>
        <w:rPr>
          <w:rFonts w:hint="eastAsia" w:ascii="仿宋_GB2312" w:hAnsi="仿宋_GB2312" w:eastAsia="仿宋_GB2312" w:cs="仿宋_GB2312"/>
          <w:spacing w:val="15"/>
          <w:kern w:val="2"/>
          <w:sz w:val="32"/>
          <w:szCs w:val="32"/>
          <w:highlight w:val="none"/>
          <w:lang w:val="en-US" w:eastAsia="zh-CN" w:bidi="ar-SA"/>
        </w:rPr>
        <w:t>期间北矿公司的借款以及北矿公司交割日前发生的生产事故未支付的行政罚款和交割日前已经鉴定或正在鉴定的未支付的工伤赔偿金等由甲方承担；除甲方持有的债权外，北矿公司其他的债权、债务</w:t>
      </w:r>
      <w:r>
        <w:rPr>
          <w:rFonts w:hint="eastAsia" w:ascii="仿宋_GB2312" w:hAnsi="仿宋_GB2312" w:eastAsia="仿宋_GB2312" w:cs="仿宋_GB2312"/>
          <w:i w:val="0"/>
          <w:iCs w:val="0"/>
          <w:caps w:val="0"/>
          <w:color w:val="111111"/>
          <w:spacing w:val="0"/>
          <w:sz w:val="32"/>
          <w:szCs w:val="32"/>
          <w:shd w:val="clear" w:color="auto" w:fill="FFFFFF"/>
        </w:rPr>
        <w:t>由</w:t>
      </w:r>
      <w:r>
        <w:rPr>
          <w:rFonts w:hint="eastAsia" w:ascii="仿宋_GB2312" w:hAnsi="仿宋_GB2312" w:eastAsia="仿宋_GB2312" w:cs="仿宋_GB2312"/>
          <w:i w:val="0"/>
          <w:iCs w:val="0"/>
          <w:caps w:val="0"/>
          <w:color w:val="111111"/>
          <w:spacing w:val="0"/>
          <w:sz w:val="32"/>
          <w:szCs w:val="32"/>
          <w:shd w:val="clear" w:color="auto" w:fill="FFFFFF"/>
          <w:lang w:val="en-US" w:eastAsia="zh-CN"/>
        </w:rPr>
        <w:t>乙方</w:t>
      </w:r>
      <w:r>
        <w:rPr>
          <w:rFonts w:hint="eastAsia" w:ascii="仿宋_GB2312" w:hAnsi="仿宋_GB2312" w:eastAsia="仿宋_GB2312" w:cs="仿宋_GB2312"/>
          <w:i w:val="0"/>
          <w:iCs w:val="0"/>
          <w:caps w:val="0"/>
          <w:color w:val="111111"/>
          <w:spacing w:val="0"/>
          <w:sz w:val="32"/>
          <w:szCs w:val="32"/>
          <w:shd w:val="clear" w:color="auto" w:fill="FFFFFF"/>
        </w:rPr>
        <w:t>享有</w:t>
      </w:r>
      <w:r>
        <w:rPr>
          <w:rFonts w:hint="eastAsia" w:ascii="仿宋_GB2312" w:hAnsi="仿宋_GB2312" w:eastAsia="仿宋_GB2312" w:cs="仿宋_GB2312"/>
          <w:i w:val="0"/>
          <w:iCs w:val="0"/>
          <w:caps w:val="0"/>
          <w:color w:val="111111"/>
          <w:spacing w:val="0"/>
          <w:sz w:val="32"/>
          <w:szCs w:val="32"/>
          <w:shd w:val="clear" w:color="auto" w:fill="FFFFFF"/>
          <w:lang w:val="en-US" w:eastAsia="zh-CN"/>
        </w:rPr>
        <w:t>或</w:t>
      </w:r>
      <w:r>
        <w:rPr>
          <w:rFonts w:hint="eastAsia" w:ascii="仿宋_GB2312" w:hAnsi="仿宋_GB2312" w:eastAsia="仿宋_GB2312" w:cs="仿宋_GB2312"/>
          <w:i w:val="0"/>
          <w:iCs w:val="0"/>
          <w:caps w:val="0"/>
          <w:color w:val="111111"/>
          <w:spacing w:val="0"/>
          <w:sz w:val="32"/>
          <w:szCs w:val="32"/>
          <w:shd w:val="clear" w:color="auto" w:fill="FFFFFF"/>
        </w:rPr>
        <w:t>承担</w:t>
      </w:r>
      <w:r>
        <w:rPr>
          <w:rFonts w:hint="eastAsia" w:ascii="仿宋_GB2312" w:hAnsi="仿宋_GB2312" w:eastAsia="仿宋_GB2312" w:cs="仿宋_GB2312"/>
          <w:i w:val="0"/>
          <w:iCs w:val="0"/>
          <w:caps w:val="0"/>
          <w:color w:val="111111"/>
          <w:spacing w:val="0"/>
          <w:sz w:val="32"/>
          <w:szCs w:val="32"/>
          <w:shd w:val="clear" w:color="auto" w:fill="FFFFFF"/>
          <w:lang w:eastAsia="zh-CN"/>
        </w:rPr>
        <w:t>；</w:t>
      </w:r>
      <w:r>
        <w:rPr>
          <w:rFonts w:hint="eastAsia" w:ascii="仿宋_GB2312" w:eastAsia="仿宋_GB2312"/>
          <w:sz w:val="32"/>
          <w:szCs w:val="32"/>
          <w:lang w:val="en-US" w:eastAsia="zh-CN"/>
        </w:rPr>
        <w:t>实物资产的移交以股权交割日的现状为准。</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2.本合同自双方法定代表或其授权代表签字且双方盖章之日起生效。</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3.本合同生效后,视同乙方已完全接受并认可甲方在产权交易中心平台公告发布中所列的（风险）提示及重要信息披露事项,同时甲乙双方都有义务配合股权交割后的未决事项。</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highlight w:val="none"/>
          <w:lang w:val="en-US" w:eastAsia="zh-CN"/>
        </w:rPr>
        <w:t>乙方保证不在此次转让标的范围的、尚登记在北矿公司名下的原龙岩市煤炭车队员工安置房的资产完整，安置房位于龙岩市新罗区西陂街道龙腾北路115号（龙岩客技站大洋安置房）5幢104、5幢106共计2户，上述房产乙方不具有任何处置权利，乙方承诺对上述房产不进行担保、抵押、出租、变卖等行为，并无条件配合办理上述房产的产权变更登记手续；需由北矿公司支付的税费由甲方承担。</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5.本合同未尽事宜，由双方协商解决并订立补充合同。</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6.本合同一式四份，甲、乙双方各执一份，报工商行政管理机关一份，产权交易中心执一份，均具有同等法律效力。  双方应配合股权转让变更登记手续的办理，及时提供所需的各自所掌握的资料，签署所需的各自应签署的文件，并尽力给予其他必要的配合。工商变更登记合同文本与本合同不一致的，以本合同为准。</w:t>
      </w:r>
    </w:p>
    <w:p>
      <w:pPr>
        <w:pStyle w:val="3"/>
        <w:spacing w:line="560" w:lineRule="exact"/>
        <w:ind w:firstLine="640" w:firstLineChars="200"/>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甲方（盖章）：                    </w:t>
      </w: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法定代表人（或授权代表）签字：</w:t>
      </w: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乙方（盖章）：                          </w:t>
      </w:r>
    </w:p>
    <w:p>
      <w:pPr>
        <w:ind w:firstLine="640" w:firstLineChars="200"/>
        <w:rPr>
          <w:rFonts w:ascii="仿宋_GB2312" w:eastAsia="仿宋_GB2312"/>
          <w:sz w:val="32"/>
          <w:szCs w:val="32"/>
        </w:rPr>
      </w:pPr>
      <w:r>
        <w:rPr>
          <w:rFonts w:hint="eastAsia" w:ascii="仿宋_GB2312" w:eastAsia="仿宋_GB2312"/>
          <w:sz w:val="32"/>
          <w:szCs w:val="32"/>
        </w:rPr>
        <w:t>法定代表人（或授权代表）签字：</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p>
    <w:p>
      <w:pPr>
        <w:rPr>
          <w:rFonts w:ascii="仿宋_GB2312" w:eastAsia="仿宋_GB2312"/>
          <w:sz w:val="32"/>
          <w:szCs w:val="32"/>
        </w:rPr>
      </w:pPr>
      <w:r>
        <w:rPr>
          <w:rFonts w:hint="eastAsia" w:ascii="仿宋_GB2312" w:eastAsia="仿宋_GB2312"/>
          <w:sz w:val="32"/>
          <w:szCs w:val="32"/>
        </w:rPr>
        <w:t>签约地点： 福建省龙岩市 签约时间：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yMDFkYjBhOTQ3YjBjOTc2MjE1MGQ1NTg2YTVlYzcifQ=="/>
    <w:docVar w:name="KSO_WPS_MARK_KEY" w:val="ff4d69e1-c76b-4826-ab60-8677cb2fdc2d"/>
  </w:docVars>
  <w:rsids>
    <w:rsidRoot w:val="00172A27"/>
    <w:rsid w:val="00016CCF"/>
    <w:rsid w:val="000245B8"/>
    <w:rsid w:val="00032111"/>
    <w:rsid w:val="0004484B"/>
    <w:rsid w:val="00047637"/>
    <w:rsid w:val="0005385B"/>
    <w:rsid w:val="000641BE"/>
    <w:rsid w:val="00070BAA"/>
    <w:rsid w:val="00075C51"/>
    <w:rsid w:val="00087459"/>
    <w:rsid w:val="00096125"/>
    <w:rsid w:val="00096A16"/>
    <w:rsid w:val="000A7E00"/>
    <w:rsid w:val="000B322E"/>
    <w:rsid w:val="000C5422"/>
    <w:rsid w:val="000D78A7"/>
    <w:rsid w:val="000E2C68"/>
    <w:rsid w:val="000E39FD"/>
    <w:rsid w:val="000F3545"/>
    <w:rsid w:val="0011735E"/>
    <w:rsid w:val="00135BA7"/>
    <w:rsid w:val="0015042B"/>
    <w:rsid w:val="00156F05"/>
    <w:rsid w:val="001676F3"/>
    <w:rsid w:val="00172A27"/>
    <w:rsid w:val="00176DF1"/>
    <w:rsid w:val="001905B0"/>
    <w:rsid w:val="001A51ED"/>
    <w:rsid w:val="001D70D9"/>
    <w:rsid w:val="001E22EB"/>
    <w:rsid w:val="001F38E8"/>
    <w:rsid w:val="00214E32"/>
    <w:rsid w:val="00222A1F"/>
    <w:rsid w:val="00224864"/>
    <w:rsid w:val="00232BDE"/>
    <w:rsid w:val="00266B20"/>
    <w:rsid w:val="002725F5"/>
    <w:rsid w:val="00277B96"/>
    <w:rsid w:val="002C4ECE"/>
    <w:rsid w:val="002F482D"/>
    <w:rsid w:val="0032285B"/>
    <w:rsid w:val="00332F06"/>
    <w:rsid w:val="00361F6C"/>
    <w:rsid w:val="0038642C"/>
    <w:rsid w:val="003903D4"/>
    <w:rsid w:val="003A7009"/>
    <w:rsid w:val="003D6EFC"/>
    <w:rsid w:val="003E7549"/>
    <w:rsid w:val="004553C5"/>
    <w:rsid w:val="004556D9"/>
    <w:rsid w:val="00457201"/>
    <w:rsid w:val="00471B78"/>
    <w:rsid w:val="00482908"/>
    <w:rsid w:val="00493CA1"/>
    <w:rsid w:val="004A41FB"/>
    <w:rsid w:val="004A79DF"/>
    <w:rsid w:val="004B599F"/>
    <w:rsid w:val="004B5E89"/>
    <w:rsid w:val="004B6D67"/>
    <w:rsid w:val="004E6308"/>
    <w:rsid w:val="004F03EB"/>
    <w:rsid w:val="0053169E"/>
    <w:rsid w:val="00536F4F"/>
    <w:rsid w:val="0055027B"/>
    <w:rsid w:val="005569C2"/>
    <w:rsid w:val="00570B8C"/>
    <w:rsid w:val="005A3AF6"/>
    <w:rsid w:val="005B163E"/>
    <w:rsid w:val="005B4062"/>
    <w:rsid w:val="005C4F5B"/>
    <w:rsid w:val="005C59A5"/>
    <w:rsid w:val="005E5083"/>
    <w:rsid w:val="005E5A85"/>
    <w:rsid w:val="005F5669"/>
    <w:rsid w:val="00601672"/>
    <w:rsid w:val="00616610"/>
    <w:rsid w:val="00623741"/>
    <w:rsid w:val="00647942"/>
    <w:rsid w:val="00651152"/>
    <w:rsid w:val="00662873"/>
    <w:rsid w:val="006765E0"/>
    <w:rsid w:val="00684E51"/>
    <w:rsid w:val="00694C16"/>
    <w:rsid w:val="006976E9"/>
    <w:rsid w:val="006C26EF"/>
    <w:rsid w:val="006D3F53"/>
    <w:rsid w:val="006E05BB"/>
    <w:rsid w:val="006F0410"/>
    <w:rsid w:val="006F5A6E"/>
    <w:rsid w:val="0070168E"/>
    <w:rsid w:val="00744498"/>
    <w:rsid w:val="007669B3"/>
    <w:rsid w:val="00774E0D"/>
    <w:rsid w:val="0079220B"/>
    <w:rsid w:val="007A0F58"/>
    <w:rsid w:val="007A5A10"/>
    <w:rsid w:val="007A77BC"/>
    <w:rsid w:val="007A7FDD"/>
    <w:rsid w:val="007B023B"/>
    <w:rsid w:val="007B0682"/>
    <w:rsid w:val="007B1DA7"/>
    <w:rsid w:val="007C268B"/>
    <w:rsid w:val="007D2AED"/>
    <w:rsid w:val="007D2BB6"/>
    <w:rsid w:val="007F04EF"/>
    <w:rsid w:val="007F15F3"/>
    <w:rsid w:val="007F65FB"/>
    <w:rsid w:val="0080029B"/>
    <w:rsid w:val="00810F35"/>
    <w:rsid w:val="00814711"/>
    <w:rsid w:val="008253CB"/>
    <w:rsid w:val="008475C4"/>
    <w:rsid w:val="008726C8"/>
    <w:rsid w:val="00883862"/>
    <w:rsid w:val="00884939"/>
    <w:rsid w:val="00887DA9"/>
    <w:rsid w:val="00897E81"/>
    <w:rsid w:val="008B1D7E"/>
    <w:rsid w:val="008B2200"/>
    <w:rsid w:val="008D1524"/>
    <w:rsid w:val="008E17E9"/>
    <w:rsid w:val="008F3DDC"/>
    <w:rsid w:val="00911A03"/>
    <w:rsid w:val="00920B57"/>
    <w:rsid w:val="00921B02"/>
    <w:rsid w:val="00931C35"/>
    <w:rsid w:val="009411AF"/>
    <w:rsid w:val="0097440C"/>
    <w:rsid w:val="0098592F"/>
    <w:rsid w:val="009A02B6"/>
    <w:rsid w:val="009C4312"/>
    <w:rsid w:val="009D1BB9"/>
    <w:rsid w:val="009D3A84"/>
    <w:rsid w:val="009E26B7"/>
    <w:rsid w:val="009F6A99"/>
    <w:rsid w:val="00A429CA"/>
    <w:rsid w:val="00A56062"/>
    <w:rsid w:val="00A66473"/>
    <w:rsid w:val="00A66A7C"/>
    <w:rsid w:val="00A7263C"/>
    <w:rsid w:val="00A85D08"/>
    <w:rsid w:val="00A91BEF"/>
    <w:rsid w:val="00AA2AE0"/>
    <w:rsid w:val="00AD18B8"/>
    <w:rsid w:val="00AD255B"/>
    <w:rsid w:val="00AD3BB1"/>
    <w:rsid w:val="00B07744"/>
    <w:rsid w:val="00B124A0"/>
    <w:rsid w:val="00B157E5"/>
    <w:rsid w:val="00B16AE4"/>
    <w:rsid w:val="00B17626"/>
    <w:rsid w:val="00B229BA"/>
    <w:rsid w:val="00B2637A"/>
    <w:rsid w:val="00B26D8F"/>
    <w:rsid w:val="00B30829"/>
    <w:rsid w:val="00B3559E"/>
    <w:rsid w:val="00B551D2"/>
    <w:rsid w:val="00B600AD"/>
    <w:rsid w:val="00B73E1A"/>
    <w:rsid w:val="00BA1D8C"/>
    <w:rsid w:val="00BA2102"/>
    <w:rsid w:val="00BA76F7"/>
    <w:rsid w:val="00BB118B"/>
    <w:rsid w:val="00BB5BF9"/>
    <w:rsid w:val="00BC5DA4"/>
    <w:rsid w:val="00BD00EA"/>
    <w:rsid w:val="00BE2864"/>
    <w:rsid w:val="00BE4524"/>
    <w:rsid w:val="00BE6EE9"/>
    <w:rsid w:val="00BF268F"/>
    <w:rsid w:val="00C10CE4"/>
    <w:rsid w:val="00C15519"/>
    <w:rsid w:val="00C3031A"/>
    <w:rsid w:val="00C4511E"/>
    <w:rsid w:val="00C84592"/>
    <w:rsid w:val="00CE082F"/>
    <w:rsid w:val="00CF6A1A"/>
    <w:rsid w:val="00D051FB"/>
    <w:rsid w:val="00D4548C"/>
    <w:rsid w:val="00DA13CA"/>
    <w:rsid w:val="00DB59FD"/>
    <w:rsid w:val="00DC46E9"/>
    <w:rsid w:val="00DC547A"/>
    <w:rsid w:val="00DD3AC3"/>
    <w:rsid w:val="00E01844"/>
    <w:rsid w:val="00E04C41"/>
    <w:rsid w:val="00E10D58"/>
    <w:rsid w:val="00E14075"/>
    <w:rsid w:val="00E368D2"/>
    <w:rsid w:val="00E61DB1"/>
    <w:rsid w:val="00E663F8"/>
    <w:rsid w:val="00E754B0"/>
    <w:rsid w:val="00E7612B"/>
    <w:rsid w:val="00EB7442"/>
    <w:rsid w:val="00ED7CAE"/>
    <w:rsid w:val="00F015E8"/>
    <w:rsid w:val="00F01D64"/>
    <w:rsid w:val="00F0258E"/>
    <w:rsid w:val="00F1328E"/>
    <w:rsid w:val="00F20E32"/>
    <w:rsid w:val="00F2301E"/>
    <w:rsid w:val="00F27DF2"/>
    <w:rsid w:val="00F316FB"/>
    <w:rsid w:val="00F34121"/>
    <w:rsid w:val="00F43388"/>
    <w:rsid w:val="00F46C32"/>
    <w:rsid w:val="00F65B48"/>
    <w:rsid w:val="00F67246"/>
    <w:rsid w:val="00F67BA1"/>
    <w:rsid w:val="00F73209"/>
    <w:rsid w:val="00F83D77"/>
    <w:rsid w:val="00F96F16"/>
    <w:rsid w:val="00FA0C64"/>
    <w:rsid w:val="00FB079A"/>
    <w:rsid w:val="00FB28B0"/>
    <w:rsid w:val="00FB303C"/>
    <w:rsid w:val="00FB5292"/>
    <w:rsid w:val="00FB5E59"/>
    <w:rsid w:val="00FE0614"/>
    <w:rsid w:val="00FF1F0A"/>
    <w:rsid w:val="03D80B70"/>
    <w:rsid w:val="04163446"/>
    <w:rsid w:val="056D092C"/>
    <w:rsid w:val="058368B9"/>
    <w:rsid w:val="073C31C4"/>
    <w:rsid w:val="07E850FA"/>
    <w:rsid w:val="0A9A6B7F"/>
    <w:rsid w:val="0B806F4C"/>
    <w:rsid w:val="0C3721AC"/>
    <w:rsid w:val="0D142033"/>
    <w:rsid w:val="0DB00467"/>
    <w:rsid w:val="0FDB31EB"/>
    <w:rsid w:val="115C399F"/>
    <w:rsid w:val="117D7D8E"/>
    <w:rsid w:val="13940884"/>
    <w:rsid w:val="18574301"/>
    <w:rsid w:val="1BCC0B62"/>
    <w:rsid w:val="1C0D7C70"/>
    <w:rsid w:val="1D4B782D"/>
    <w:rsid w:val="1D894BA3"/>
    <w:rsid w:val="1DCD66E5"/>
    <w:rsid w:val="1E72254E"/>
    <w:rsid w:val="20FB423F"/>
    <w:rsid w:val="21160490"/>
    <w:rsid w:val="21A570B3"/>
    <w:rsid w:val="2556149D"/>
    <w:rsid w:val="26CA0AC0"/>
    <w:rsid w:val="28223279"/>
    <w:rsid w:val="29673C78"/>
    <w:rsid w:val="2A7D74CC"/>
    <w:rsid w:val="2D173C07"/>
    <w:rsid w:val="2D8C751F"/>
    <w:rsid w:val="2EC61441"/>
    <w:rsid w:val="30CF7407"/>
    <w:rsid w:val="32130E41"/>
    <w:rsid w:val="35496928"/>
    <w:rsid w:val="366F0610"/>
    <w:rsid w:val="368340BC"/>
    <w:rsid w:val="369D7C73"/>
    <w:rsid w:val="3753300A"/>
    <w:rsid w:val="37BE4930"/>
    <w:rsid w:val="38934A8A"/>
    <w:rsid w:val="3991556F"/>
    <w:rsid w:val="39DC158A"/>
    <w:rsid w:val="39FA5B82"/>
    <w:rsid w:val="3A43428E"/>
    <w:rsid w:val="3F204B9E"/>
    <w:rsid w:val="40771981"/>
    <w:rsid w:val="40C672BD"/>
    <w:rsid w:val="40E02836"/>
    <w:rsid w:val="42401BA1"/>
    <w:rsid w:val="45E05210"/>
    <w:rsid w:val="46BC5E2C"/>
    <w:rsid w:val="47483EA5"/>
    <w:rsid w:val="48B63E7D"/>
    <w:rsid w:val="490014D7"/>
    <w:rsid w:val="49247038"/>
    <w:rsid w:val="4BAB1C93"/>
    <w:rsid w:val="4CEA67EB"/>
    <w:rsid w:val="4D7001EC"/>
    <w:rsid w:val="4E020386"/>
    <w:rsid w:val="4E8306A0"/>
    <w:rsid w:val="50964CC0"/>
    <w:rsid w:val="51854771"/>
    <w:rsid w:val="538434F5"/>
    <w:rsid w:val="57835872"/>
    <w:rsid w:val="5A476D5F"/>
    <w:rsid w:val="5B7C2D04"/>
    <w:rsid w:val="5F1F14FE"/>
    <w:rsid w:val="600A3F4F"/>
    <w:rsid w:val="61112140"/>
    <w:rsid w:val="612E60D8"/>
    <w:rsid w:val="61E65553"/>
    <w:rsid w:val="61ED495B"/>
    <w:rsid w:val="623065F6"/>
    <w:rsid w:val="65695A9D"/>
    <w:rsid w:val="68FD42A2"/>
    <w:rsid w:val="69A75D59"/>
    <w:rsid w:val="6C991968"/>
    <w:rsid w:val="6D01750D"/>
    <w:rsid w:val="6DB12CE1"/>
    <w:rsid w:val="6DB173DA"/>
    <w:rsid w:val="6DC32821"/>
    <w:rsid w:val="6E0375BE"/>
    <w:rsid w:val="6E873A42"/>
    <w:rsid w:val="6EA843ED"/>
    <w:rsid w:val="6F265009"/>
    <w:rsid w:val="6FC54769"/>
    <w:rsid w:val="72EC11AB"/>
    <w:rsid w:val="731F693F"/>
    <w:rsid w:val="73416D76"/>
    <w:rsid w:val="78816D96"/>
    <w:rsid w:val="7A3436A7"/>
    <w:rsid w:val="7B0C1E1E"/>
    <w:rsid w:val="7BA321D5"/>
    <w:rsid w:val="7C5321A4"/>
    <w:rsid w:val="7D145C91"/>
    <w:rsid w:val="7D6D1710"/>
    <w:rsid w:val="7E3A462D"/>
    <w:rsid w:val="7ECF0CC7"/>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440" w:lineRule="exact"/>
      <w:ind w:firstLine="480"/>
    </w:pPr>
    <w:rPr>
      <w:rFonts w:ascii="宋体" w:hAnsi="宋体"/>
      <w:sz w:val="24"/>
    </w:rPr>
  </w:style>
  <w:style w:type="paragraph" w:styleId="4">
    <w:name w:val="Plain Text"/>
    <w:basedOn w:val="1"/>
    <w:qFormat/>
    <w:uiPriority w:val="0"/>
    <w:rPr>
      <w:rFonts w:ascii="宋体" w:hAnsi="Courier New"/>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paragraph" w:styleId="9">
    <w:name w:val="annotation subject"/>
    <w:basedOn w:val="2"/>
    <w:next w:val="2"/>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修订1"/>
    <w:qFormat/>
    <w:uiPriority w:val="0"/>
    <w:rPr>
      <w:rFonts w:ascii="Times New Roman" w:hAnsi="Times New Roman" w:eastAsia="宋体" w:cs="Times New Roman"/>
      <w:kern w:val="2"/>
      <w:sz w:val="21"/>
      <w:szCs w:val="24"/>
      <w:lang w:val="en-US" w:eastAsia="zh-CN" w:bidi="ar-SA"/>
    </w:rPr>
  </w:style>
  <w:style w:type="paragraph" w:customStyle="1" w:styleId="15">
    <w:name w:val="D-2"/>
    <w:basedOn w:val="16"/>
    <w:qFormat/>
    <w:uiPriority w:val="0"/>
    <w:pPr>
      <w:tabs>
        <w:tab w:val="left" w:pos="0"/>
        <w:tab w:val="left" w:pos="993"/>
        <w:tab w:val="left" w:pos="1050"/>
      </w:tabs>
      <w:spacing w:line="400" w:lineRule="exact"/>
      <w:ind w:left="992" w:hanging="567"/>
    </w:pPr>
    <w:rPr>
      <w:b w:val="0"/>
    </w:rPr>
  </w:style>
  <w:style w:type="paragraph" w:customStyle="1" w:styleId="16">
    <w:name w:val="D-1"/>
    <w:basedOn w:val="1"/>
    <w:qFormat/>
    <w:uiPriority w:val="0"/>
    <w:pPr>
      <w:tabs>
        <w:tab w:val="left" w:pos="993"/>
      </w:tabs>
      <w:spacing w:beforeLines="50" w:afterLines="50" w:line="360" w:lineRule="auto"/>
      <w:ind w:left="993" w:hanging="993"/>
    </w:pPr>
    <w:rPr>
      <w:rFonts w:ascii="宋体" w:hAnsi="宋体"/>
      <w:b/>
      <w:szCs w:val="21"/>
    </w:rPr>
  </w:style>
  <w:style w:type="paragraph" w:customStyle="1" w:styleId="17">
    <w:name w:val="正文文本缩进 21"/>
    <w:basedOn w:val="1"/>
    <w:qFormat/>
    <w:uiPriority w:val="0"/>
    <w:pPr>
      <w:spacing w:line="360" w:lineRule="auto"/>
      <w:ind w:firstLine="480"/>
    </w:pPr>
    <w:rPr>
      <w:rFonts w:eastAsia="仿宋_GB2312"/>
      <w:sz w:val="24"/>
      <w:szCs w:val="21"/>
    </w:rPr>
  </w:style>
  <w:style w:type="paragraph" w:customStyle="1" w:styleId="18">
    <w:name w:val="p16"/>
    <w:basedOn w:val="1"/>
    <w:qFormat/>
    <w:uiPriority w:val="0"/>
    <w:pPr>
      <w:widowControl/>
      <w:spacing w:line="440" w:lineRule="atLeast"/>
      <w:ind w:firstLine="48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B7A2F-9AC1-4235-A01B-BE3BA204C5C6}">
  <ds:schemaRefs/>
</ds:datastoreItem>
</file>

<file path=docProps/app.xml><?xml version="1.0" encoding="utf-8"?>
<Properties xmlns="http://schemas.openxmlformats.org/officeDocument/2006/extended-properties" xmlns:vt="http://schemas.openxmlformats.org/officeDocument/2006/docPropsVTypes">
  <Template>Normal</Template>
  <Company>龙岩</Company>
  <Pages>6</Pages>
  <Words>2329</Words>
  <Characters>2431</Characters>
  <Lines>17</Lines>
  <Paragraphs>5</Paragraphs>
  <TotalTime>5</TotalTime>
  <ScaleCrop>false</ScaleCrop>
  <LinksUpToDate>false</LinksUpToDate>
  <CharactersWithSpaces>2597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2019-06-11T02:26:00Z</dcterms:created>
  <dc:creator>财务</dc:creator>
  <cp:lastModifiedBy>lenovo</cp:lastModifiedBy>
  <cp:lastPrinted>2019-06-10T00:10:00Z</cp:lastPrinted>
  <dcterms:modified xsi:type="dcterms:W3CDTF">2024-05-11T11:32:19Z</dcterms:modified>
  <dc:title>股权转让合同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E6851E15105945148C6B8D65DCDE26BA</vt:lpwstr>
  </property>
</Properties>
</file>