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5" w:rightChars="50"/>
        <w:jc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乙方租赁该房</w:t>
      </w:r>
      <w:r>
        <w:rPr>
          <w:rFonts w:hint="eastAsia" w:ascii="仿宋_GB2312" w:hAnsi="仿宋_GB2312" w:eastAsia="仿宋_GB2312" w:cs="仿宋_GB2312"/>
          <w:bCs/>
          <w:color w:val="auto"/>
          <w:sz w:val="28"/>
          <w:szCs w:val="28"/>
          <w:highlight w:val="none"/>
          <w:lang w:eastAsia="zh-CN"/>
        </w:rPr>
        <w:t>屋应符合国家相关法律法规政策规定的用途，不得用于经营有明火作业的行业、游戏房、车辆维修、易燃易爆等危险性商品的经营和服务、禽畜买卖宰杀以及有噪音、污染等项目，否则甲方可在发现后随时解除合同。</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乙方经营需使用</w:t>
      </w:r>
      <w:r>
        <w:rPr>
          <w:rFonts w:hint="eastAsia" w:ascii="仿宋_GB2312" w:hAnsi="仿宋_GB2312" w:eastAsia="仿宋_GB2312" w:cs="仿宋_GB2312"/>
          <w:bCs/>
          <w:color w:val="auto"/>
          <w:sz w:val="28"/>
          <w:szCs w:val="28"/>
          <w:highlight w:val="none"/>
          <w:lang w:eastAsia="zh-CN"/>
        </w:rPr>
        <w:t>外墙、屋顶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pPr>
        <w:keepNext w:val="0"/>
        <w:keepLines w:val="0"/>
        <w:pageBreakBefore w:val="0"/>
        <w:widowControl w:val="0"/>
        <w:kinsoku/>
        <w:wordWrap/>
        <w:overflowPunct/>
        <w:topLinePunct w:val="0"/>
        <w:autoSpaceDE/>
        <w:autoSpaceDN/>
        <w:bidi w:val="0"/>
        <w:adjustRightInd/>
        <w:snapToGrid/>
        <w:spacing w:line="400" w:lineRule="exact"/>
        <w:ind w:left="279"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40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5"/>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61" w:beforeLines="50"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甲方有权监督乙方对租赁房屋的安全、合理使用情况和守法经营情况，有权制订有关商务管理规则、物业管理条约等公共秩序、卫生管理制度，并不定期检查其执行情况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乙方所租房屋只用于本合同约定用途的合法经营场所，不得用于非法活动，也不得改变租赁物的用途，租赁期间未经甲方书面同意不得向他人转租、分租、转借、抵押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
          <w:bCs w:val="0"/>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甲方没收乙方缴交的履约保证金，同时甲方可</w:t>
      </w:r>
      <w:r>
        <w:rPr>
          <w:rFonts w:hint="eastAsia" w:ascii="仿宋_GB2312" w:hAnsi="仿宋_GB2312" w:eastAsia="仿宋_GB2312" w:cs="仿宋_GB2312"/>
          <w:color w:val="auto"/>
          <w:spacing w:val="0"/>
          <w:position w:val="0"/>
          <w:sz w:val="28"/>
          <w:szCs w:val="28"/>
          <w:highlight w:val="none"/>
          <w:shd w:val="clear" w:fill="auto"/>
          <w:lang w:eastAsia="zh-CN"/>
        </w:rPr>
        <w:t>视实际损失情况有权追究乙方相应的违约责任或法律责任，期间</w:t>
      </w:r>
      <w:r>
        <w:rPr>
          <w:rFonts w:hint="eastAsia" w:ascii="仿宋_GB2312" w:hAnsi="仿宋_GB2312" w:eastAsia="仿宋_GB2312" w:cs="仿宋_GB2312"/>
          <w:color w:val="auto"/>
          <w:spacing w:val="0"/>
          <w:position w:val="0"/>
          <w:sz w:val="28"/>
          <w:szCs w:val="28"/>
          <w:highlight w:val="none"/>
          <w:shd w:val="clear" w:fill="auto"/>
        </w:rPr>
        <w:t>租金按照实际使用时间缴纳</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z w:val="28"/>
          <w:szCs w:val="28"/>
          <w:highlight w:val="none"/>
          <w:shd w:val="clear" w:fill="auto"/>
          <w:lang w:val="en-US" w:eastAsia="zh-CN"/>
        </w:rPr>
        <w:t>违约金标准按剩余未满租赁期限的租金30%收取</w:t>
      </w:r>
      <w:r>
        <w:rPr>
          <w:rFonts w:hint="eastAsia" w:ascii="仿宋_GB2312" w:hAnsi="仿宋_GB2312" w:eastAsia="仿宋_GB2312" w:cs="仿宋_GB2312"/>
          <w:color w:val="auto"/>
          <w:spacing w:val="0"/>
          <w:position w:val="0"/>
          <w:sz w:val="28"/>
          <w:szCs w:val="28"/>
          <w:highlight w:val="none"/>
          <w:shd w:val="clear" w:fill="auto"/>
          <w:lang w:val="en-US" w:eastAsia="zh-CN"/>
        </w:rPr>
        <w:t>；经甲方同意协议解除合同的，在乙方结清本合同项下所有费用及无其他违约行为的前提下，甲方按一定比例退还乙方履约保证金，具体如下：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第二十四条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val="0"/>
          <w:bCs/>
          <w:color w:val="auto"/>
          <w:sz w:val="28"/>
          <w:szCs w:val="28"/>
          <w:highlight w:val="none"/>
          <w:lang w:val="en-US"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val="en-US" w:bidi="en-US"/>
        </w:rPr>
        <w:t>在乙方承租甲方房产后，乙方</w:t>
      </w:r>
      <w:r>
        <w:rPr>
          <w:rFonts w:hint="eastAsia" w:ascii="仿宋_GB2312" w:hAnsi="仿宋_GB2312" w:eastAsia="仿宋_GB2312" w:cs="仿宋_GB2312"/>
          <w:bCs/>
          <w:color w:val="auto"/>
          <w:sz w:val="28"/>
          <w:szCs w:val="28"/>
          <w:highlight w:val="none"/>
          <w:lang w:val="en-US" w:eastAsia="zh-CN" w:bidi="en-US"/>
        </w:rPr>
        <w:t>以本租赁物为注册地址并作为主要经营场所</w:t>
      </w:r>
      <w:r>
        <w:rPr>
          <w:rFonts w:hint="eastAsia" w:ascii="仿宋_GB2312" w:hAnsi="仿宋_GB2312" w:eastAsia="仿宋_GB2312" w:cs="仿宋_GB2312"/>
          <w:bCs/>
          <w:color w:val="auto"/>
          <w:sz w:val="28"/>
          <w:szCs w:val="28"/>
          <w:highlight w:val="none"/>
          <w:lang w:val="en-US" w:bidi="en-US"/>
        </w:rPr>
        <w:t>出资成立公司、合伙企业或者个体工商户的，</w:t>
      </w:r>
      <w:r>
        <w:rPr>
          <w:rFonts w:hint="eastAsia" w:ascii="仿宋_GB2312" w:hAnsi="仿宋_GB2312" w:eastAsia="仿宋_GB2312" w:cs="仿宋_GB2312"/>
          <w:b w:val="0"/>
          <w:bCs/>
          <w:color w:val="auto"/>
          <w:sz w:val="28"/>
          <w:szCs w:val="28"/>
          <w:highlight w:val="none"/>
          <w:lang w:val="en-US" w:bidi="en-US"/>
        </w:rPr>
        <w:t>该公司、合伙企业或者个体工商户应在本合同上签字</w:t>
      </w:r>
      <w:r>
        <w:rPr>
          <w:rFonts w:hint="eastAsia" w:ascii="仿宋_GB2312" w:hAnsi="仿宋_GB2312" w:eastAsia="仿宋_GB2312" w:cs="仿宋_GB2312"/>
          <w:bCs/>
          <w:color w:val="auto"/>
          <w:sz w:val="28"/>
          <w:szCs w:val="28"/>
          <w:highlight w:val="none"/>
          <w:lang w:val="en-US" w:bidi="en-US"/>
        </w:rPr>
        <w:t>，</w:t>
      </w:r>
      <w:r>
        <w:rPr>
          <w:rFonts w:hint="eastAsia" w:ascii="仿宋_GB2312" w:hAnsi="仿宋_GB2312" w:eastAsia="仿宋_GB2312" w:cs="仿宋_GB2312"/>
          <w:b w:val="0"/>
          <w:bCs/>
          <w:color w:val="auto"/>
          <w:sz w:val="28"/>
          <w:szCs w:val="28"/>
          <w:highlight w:val="none"/>
          <w:lang w:val="en-US" w:bidi="en-US"/>
        </w:rPr>
        <w:t>作为共同承租人，对本合同项下乙方的全部义务承担连带责任。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val="0"/>
          <w:bCs/>
          <w:color w:val="auto"/>
          <w:sz w:val="28"/>
          <w:szCs w:val="28"/>
          <w:highlight w:val="none"/>
          <w:lang w:val="en-US" w:bidi="en-US"/>
        </w:rPr>
        <w:t>乙方为法人或合伙企业的，乙方的股东或合伙人应在本合同担保人处签字，对本合同项下乙方的全部义务承担连带担保责任。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（如水费、电费等收费标准遇政策调整，则根据调整幅度做相应调整）。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乙方自行承担因经营业态不符导致无法经营等相关责任以及涉及消防等特殊行业要求的相关费用。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乙方经营过程中与他人产生纠纷，或因第三人的原因，导致他人对租赁房产和甲方其他财产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四</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致使该租赁房屋无法继续经营，双方可解除合同，结清费用后互不追究责任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乙方若确因经营所需，拟将租赁房屋转租或分租的,必须经与甲方协商并取得甲方书面同意的方可转租或分租；同时乙方对次承租人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违反本合同约定的，违约方都应当承担相应的违约责任；同时违反两条以上约定的，最终承担违约责任金额分别累加计算。</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依照本合同约定或乙方经营过程中发生的应当缴纳的费用，逾期未缴纳的，</w:t>
      </w:r>
      <w:r>
        <w:rPr>
          <w:rFonts w:hint="eastAsia" w:ascii="仿宋_GB2312" w:hAnsi="仿宋_GB2312" w:eastAsia="仿宋_GB2312" w:cs="仿宋_GB2312"/>
          <w:bCs/>
          <w:color w:val="auto"/>
          <w:sz w:val="28"/>
          <w:szCs w:val="28"/>
          <w:highlight w:val="none"/>
          <w:lang w:eastAsia="zh-CN" w:bidi="zh-TW"/>
        </w:rPr>
        <w:t>甲方有权采取断水断电等措施，乙方还应支付逾期利息，逾期利息自合同约定缴交日的次日起计算，逾期时间在15天（含）以内，按逾期金额的每日万分之二计算；15天以上不足30天，按逾期金额的每日万分之五计算；30天（含）以上的，按逾期金额的每日万分之八计算。逾期利息从履约保证金中扣除，当扣除金额达到履约保证金三分之一时，甲方方通知乙方缴交，不及时缴交的视情况解除合同，并提起诉讼，由此产生的律师费、诉讼费、保全费等一切费用由乙方承担</w:t>
      </w:r>
      <w:r>
        <w:rPr>
          <w:rFonts w:hint="eastAsia" w:ascii="仿宋_GB2312" w:hAnsi="仿宋_GB2312" w:eastAsia="仿宋_GB2312" w:cs="仿宋_GB2312"/>
          <w:bCs/>
          <w:color w:val="auto"/>
          <w:sz w:val="28"/>
          <w:szCs w:val="28"/>
          <w:highlight w:val="none"/>
          <w:lang w:bidi="zh-TW"/>
        </w:rPr>
        <w:t>。经甲方书面催告后五天内，乙方仍未交清逾期款项</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逾期利息和违约金的，甲方有权立即解除本合同，乙方应在五天内腾房交还给甲方，并追究乙方的违约责任和赔偿责任。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应承担年租金30%的违约责任；同时甲方有权解除合同，收回房屋，履约保证金不予返还给乙方且不冲抵违约金，因此而造成甲方损失的，由乙方负责赔偿：</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向乙方收取无权占用费，按逾期之前月租金的</w:t>
      </w:r>
      <w:r>
        <w:rPr>
          <w:rFonts w:hint="eastAsia" w:ascii="仿宋_GB2312" w:hAnsi="仿宋_GB2312" w:eastAsia="仿宋_GB2312" w:cs="仿宋_GB2312"/>
          <w:bCs/>
          <w:color w:val="auto"/>
          <w:sz w:val="28"/>
          <w:szCs w:val="28"/>
          <w:highlight w:val="none"/>
          <w:lang w:val="en-US" w:eastAsia="zh-CN" w:bidi="zh-TW"/>
        </w:rPr>
        <w:t>两</w:t>
      </w:r>
      <w:r>
        <w:rPr>
          <w:rFonts w:hint="eastAsia" w:ascii="仿宋_GB2312" w:hAnsi="仿宋_GB2312" w:eastAsia="仿宋_GB2312" w:cs="仿宋_GB2312"/>
          <w:bCs/>
          <w:color w:val="auto"/>
          <w:sz w:val="28"/>
          <w:szCs w:val="28"/>
          <w:highlight w:val="none"/>
          <w:lang w:bidi="zh-TW"/>
        </w:rPr>
        <w:t>倍计算每月的无权占用费</w:t>
      </w:r>
      <w:r>
        <w:rPr>
          <w:rFonts w:hint="eastAsia" w:ascii="仿宋_GB2312" w:hAnsi="仿宋_GB2312" w:eastAsia="仿宋_GB2312" w:cs="仿宋_GB2312"/>
          <w:bCs/>
          <w:color w:val="auto"/>
          <w:sz w:val="28"/>
          <w:szCs w:val="28"/>
          <w:highlight w:val="none"/>
          <w:lang w:eastAsia="zh-CN" w:bidi="zh-TW"/>
        </w:rPr>
        <w:t>，逾期天数不足一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月的按一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月计算。</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第四十一条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第四十二条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pPr>
        <w:pStyle w:val="3"/>
        <w:keepNext w:val="0"/>
        <w:keepLines w:val="0"/>
        <w:pageBreakBefore w:val="0"/>
        <w:widowControl/>
        <w:kinsoku/>
        <w:wordWrap/>
        <w:overflowPunct/>
        <w:topLinePunct w:val="0"/>
        <w:autoSpaceDE/>
        <w:autoSpaceDN/>
        <w:bidi w:val="0"/>
        <w:adjustRightInd w:val="0"/>
        <w:snapToGrid w:val="0"/>
        <w:spacing w:line="360" w:lineRule="exact"/>
        <w:ind w:firstLine="562" w:firstLineChars="200"/>
        <w:textAlignment w:val="auto"/>
        <w:rPr>
          <w:rFonts w:hint="default"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法定代表人（盖章）：              法定代表人（签字或盖章）：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pPr>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br w:type="page"/>
      </w:r>
    </w:p>
    <w:p>
      <w:pPr>
        <w:pStyle w:val="7"/>
        <w:keepNext/>
        <w:keepLines/>
        <w:pageBreakBefore w:val="0"/>
        <w:widowControl w:val="0"/>
        <w:kinsoku/>
        <w:wordWrap/>
        <w:overflowPunct/>
        <w:topLinePunct w:val="0"/>
        <w:autoSpaceDE/>
        <w:autoSpaceDN/>
        <w:bidi w:val="0"/>
        <w:adjustRightInd/>
        <w:snapToGrid/>
        <w:spacing w:after="0" w:line="560" w:lineRule="exact"/>
        <w:textAlignment w:val="auto"/>
        <w:rPr>
          <w:rFonts w:hint="default" w:ascii="方正小标宋简体" w:hAnsi="仿宋" w:eastAsia="方正小标宋简体" w:cs="方正小标宋_GBK"/>
          <w:color w:val="auto"/>
          <w:sz w:val="28"/>
          <w:szCs w:val="28"/>
          <w:highlight w:val="none"/>
          <w:lang w:val="en-US" w:eastAsia="zh-CN" w:bidi="ar-SA"/>
        </w:rPr>
      </w:pPr>
      <w:bookmarkStart w:id="0" w:name="bookmark0"/>
      <w:bookmarkStart w:id="1" w:name="bookmark1"/>
      <w:bookmarkStart w:id="2" w:name="bookmark2"/>
      <w:r>
        <w:rPr>
          <w:rFonts w:ascii="方正小标宋简体" w:hAnsi="仿宋" w:eastAsia="方正小标宋简体" w:cs="方正小标宋_GBK"/>
          <w:color w:val="auto"/>
          <w:sz w:val="44"/>
          <w:szCs w:val="44"/>
          <w:highlight w:val="none"/>
          <w:lang w:val="en-US" w:eastAsia="zh-CN" w:bidi="ar-SA"/>
        </w:rPr>
        <w:t>补</w:t>
      </w:r>
      <w:r>
        <w:rPr>
          <w:rFonts w:hint="eastAsia" w:ascii="方正小标宋简体" w:hAnsi="仿宋" w:eastAsia="方正小标宋简体" w:cs="方正小标宋_GBK"/>
          <w:color w:val="auto"/>
          <w:sz w:val="44"/>
          <w:szCs w:val="44"/>
          <w:highlight w:val="none"/>
          <w:lang w:val="en-US" w:eastAsia="zh-CN" w:bidi="ar-SA"/>
        </w:rPr>
        <w:t xml:space="preserve">  </w:t>
      </w:r>
      <w:r>
        <w:rPr>
          <w:rFonts w:ascii="方正小标宋简体" w:hAnsi="仿宋" w:eastAsia="方正小标宋简体" w:cs="方正小标宋_GBK"/>
          <w:color w:val="auto"/>
          <w:sz w:val="44"/>
          <w:szCs w:val="44"/>
          <w:highlight w:val="none"/>
          <w:lang w:val="en-US" w:eastAsia="zh-CN" w:bidi="ar-SA"/>
        </w:rPr>
        <w:t>充</w:t>
      </w:r>
      <w:r>
        <w:rPr>
          <w:rFonts w:hint="eastAsia" w:ascii="方正小标宋简体" w:hAnsi="仿宋" w:eastAsia="方正小标宋简体" w:cs="方正小标宋_GBK"/>
          <w:color w:val="auto"/>
          <w:sz w:val="44"/>
          <w:szCs w:val="44"/>
          <w:highlight w:val="none"/>
          <w:lang w:val="en-US" w:eastAsia="zh-CN" w:bidi="ar-SA"/>
        </w:rPr>
        <w:t xml:space="preserve">  </w:t>
      </w:r>
      <w:r>
        <w:rPr>
          <w:rFonts w:ascii="方正小标宋简体" w:hAnsi="仿宋" w:eastAsia="方正小标宋简体" w:cs="方正小标宋_GBK"/>
          <w:color w:val="auto"/>
          <w:sz w:val="44"/>
          <w:szCs w:val="44"/>
          <w:highlight w:val="none"/>
          <w:lang w:val="en-US" w:eastAsia="zh-CN" w:bidi="ar-SA"/>
        </w:rPr>
        <w:t>协</w:t>
      </w:r>
      <w:r>
        <w:rPr>
          <w:rFonts w:hint="eastAsia" w:ascii="方正小标宋简体" w:hAnsi="仿宋" w:eastAsia="方正小标宋简体" w:cs="方正小标宋_GBK"/>
          <w:color w:val="auto"/>
          <w:sz w:val="44"/>
          <w:szCs w:val="44"/>
          <w:highlight w:val="none"/>
          <w:lang w:val="en-US" w:eastAsia="zh-CN" w:bidi="ar-SA"/>
        </w:rPr>
        <w:t xml:space="preserve">  </w:t>
      </w:r>
      <w:r>
        <w:rPr>
          <w:rFonts w:ascii="方正小标宋简体" w:hAnsi="仿宋" w:eastAsia="方正小标宋简体" w:cs="方正小标宋_GBK"/>
          <w:color w:val="auto"/>
          <w:sz w:val="44"/>
          <w:szCs w:val="44"/>
          <w:highlight w:val="none"/>
          <w:lang w:val="en-US" w:eastAsia="zh-CN" w:bidi="ar-SA"/>
        </w:rPr>
        <w:t>议</w:t>
      </w:r>
      <w:bookmarkEnd w:id="0"/>
      <w:bookmarkEnd w:id="1"/>
      <w:bookmarkEnd w:id="2"/>
      <w:r>
        <w:rPr>
          <w:rFonts w:hint="eastAsia" w:ascii="仿宋_GB2312" w:hAnsi="仿宋_GB2312" w:eastAsia="仿宋_GB2312" w:cs="仿宋_GB2312"/>
          <w:color w:val="auto"/>
          <w:sz w:val="28"/>
          <w:szCs w:val="28"/>
          <w:highlight w:val="none"/>
          <w:lang w:val="en-US" w:eastAsia="zh-CN" w:bidi="ar-SA"/>
        </w:rPr>
        <w:t>（外贸大厦电费）</w:t>
      </w:r>
    </w:p>
    <w:p>
      <w:pPr>
        <w:pStyle w:val="7"/>
        <w:keepNext/>
        <w:keepLines/>
        <w:pageBreakBefore w:val="0"/>
        <w:widowControl w:val="0"/>
        <w:kinsoku/>
        <w:wordWrap/>
        <w:overflowPunct/>
        <w:topLinePunct w:val="0"/>
        <w:autoSpaceDE/>
        <w:autoSpaceDN/>
        <w:bidi w:val="0"/>
        <w:adjustRightInd/>
        <w:snapToGrid/>
        <w:spacing w:after="0" w:line="40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（编号：</w:t>
      </w:r>
      <w:r>
        <w:rPr>
          <w:rFonts w:hint="eastAsia" w:ascii="仿宋_GB2312" w:hAnsi="仿宋_GB2312" w:eastAsia="仿宋_GB2312" w:cs="仿宋_GB2312"/>
          <w:color w:val="auto"/>
          <w:sz w:val="28"/>
          <w:szCs w:val="28"/>
          <w:highlight w:val="none"/>
          <w:lang w:val="en-US" w:eastAsia="zh-CN"/>
        </w:rPr>
        <w:t>GTZC-投资-年度-XXX-X</w:t>
      </w:r>
      <w:r>
        <w:rPr>
          <w:rFonts w:hint="eastAsia" w:ascii="仿宋_GB2312" w:hAnsi="仿宋_GB2312" w:eastAsia="仿宋_GB2312" w:cs="仿宋_GB2312"/>
          <w:color w:val="auto"/>
          <w:sz w:val="28"/>
          <w:szCs w:val="28"/>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_GB2312" w:hAnsi="仿宋_GB2312" w:eastAsia="仿宋_GB2312" w:cs="仿宋_GB2312"/>
          <w:color w:val="auto"/>
          <w:sz w:val="28"/>
          <w:szCs w:val="28"/>
          <w:highlight w:val="none"/>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r>
        <w:rPr>
          <w:rFonts w:hint="eastAsia" w:ascii="仿宋_GB2312" w:hAnsi="仿宋_GB2312" w:eastAsia="仿宋_GB2312" w:cs="仿宋_GB2312"/>
          <w:bCs/>
          <w:color w:val="auto"/>
          <w:sz w:val="28"/>
          <w:szCs w:val="28"/>
          <w:highlight w:val="none"/>
        </w:rPr>
        <w:t>（出租方）</w:t>
      </w:r>
      <w:r>
        <w:rPr>
          <w:rFonts w:hint="eastAsia" w:ascii="仿宋_GB2312" w:hAnsi="仿宋_GB2312" w:eastAsia="仿宋_GB2312" w:cs="仿宋_GB2312"/>
          <w:color w:val="auto"/>
          <w:sz w:val="28"/>
          <w:szCs w:val="28"/>
          <w:highlight w:val="none"/>
        </w:rPr>
        <w:t>：龙岩市国有资产投资经营有限公司</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乙方</w:t>
      </w:r>
      <w:r>
        <w:rPr>
          <w:rFonts w:hint="eastAsia" w:ascii="仿宋_GB2312" w:hAnsi="仿宋_GB2312" w:eastAsia="仿宋_GB2312" w:cs="仿宋_GB2312"/>
          <w:bCs/>
          <w:color w:val="auto"/>
          <w:sz w:val="28"/>
          <w:szCs w:val="28"/>
          <w:highlight w:val="none"/>
        </w:rPr>
        <w:t>（承租方）</w:t>
      </w:r>
      <w:r>
        <w:rPr>
          <w:rFonts w:hint="eastAsia" w:ascii="仿宋_GB2312" w:hAnsi="仿宋_GB2312" w:eastAsia="仿宋_GB2312" w:cs="仿宋_GB2312"/>
          <w:color w:val="auto"/>
          <w:sz w:val="28"/>
          <w:szCs w:val="28"/>
          <w:highlight w:val="none"/>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auto"/>
        <w:rPr>
          <w:rFonts w:hint="eastAsia" w:ascii="仿宋_GB2312" w:hAnsi="仿宋_GB2312" w:eastAsia="仿宋_GB2312" w:cs="仿宋_GB2312"/>
          <w:color w:val="auto"/>
          <w:sz w:val="28"/>
          <w:szCs w:val="28"/>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根</w:t>
      </w:r>
      <w:r>
        <w:rPr>
          <w:rFonts w:hint="eastAsia" w:ascii="仿宋_GB2312" w:hAnsi="仿宋_GB2312" w:eastAsia="仿宋_GB2312" w:cs="仿宋_GB2312"/>
          <w:color w:val="auto"/>
          <w:sz w:val="28"/>
          <w:szCs w:val="28"/>
          <w:highlight w:val="none"/>
        </w:rPr>
        <w:t>据《电力供应与使用条例》，电力部门无法</w:t>
      </w:r>
      <w:r>
        <w:rPr>
          <w:rFonts w:hint="eastAsia" w:ascii="仿宋_GB2312" w:hAnsi="仿宋_GB2312" w:eastAsia="仿宋_GB2312" w:cs="仿宋_GB2312"/>
          <w:color w:val="auto"/>
          <w:sz w:val="28"/>
          <w:szCs w:val="28"/>
          <w:highlight w:val="none"/>
          <w:lang w:val="en-US" w:eastAsia="zh-CN"/>
        </w:rPr>
        <w:t>对</w:t>
      </w:r>
      <w:r>
        <w:rPr>
          <w:rFonts w:hint="eastAsia" w:ascii="仿宋_GB2312" w:hAnsi="仿宋_GB2312" w:eastAsia="仿宋_GB2312" w:cs="仿宋_GB2312"/>
          <w:color w:val="auto"/>
          <w:sz w:val="28"/>
          <w:szCs w:val="28"/>
          <w:highlight w:val="none"/>
          <w:lang w:eastAsia="zh-CN"/>
        </w:rPr>
        <w:t>各租户的</w:t>
      </w:r>
      <w:r>
        <w:rPr>
          <w:rFonts w:hint="eastAsia" w:ascii="仿宋_GB2312" w:hAnsi="仿宋_GB2312" w:eastAsia="仿宋_GB2312" w:cs="仿宋_GB2312"/>
          <w:color w:val="auto"/>
          <w:sz w:val="28"/>
          <w:szCs w:val="28"/>
          <w:highlight w:val="none"/>
        </w:rPr>
        <w:t>电表进行抄表到户和实行峰谷平电费单价，为明确甲方、</w:t>
      </w:r>
      <w:r>
        <w:rPr>
          <w:rFonts w:hint="eastAsia" w:ascii="仿宋_GB2312" w:hAnsi="仿宋_GB2312" w:eastAsia="仿宋_GB2312" w:cs="仿宋_GB2312"/>
          <w:color w:val="auto"/>
          <w:sz w:val="28"/>
          <w:szCs w:val="28"/>
          <w:highlight w:val="none"/>
          <w:lang w:eastAsia="zh-CN"/>
        </w:rPr>
        <w:t>乙方</w:t>
      </w:r>
      <w:r>
        <w:rPr>
          <w:rFonts w:hint="eastAsia" w:ascii="仿宋_GB2312" w:hAnsi="仿宋_GB2312" w:eastAsia="仿宋_GB2312" w:cs="仿宋_GB2312"/>
          <w:color w:val="auto"/>
          <w:sz w:val="28"/>
          <w:szCs w:val="28"/>
          <w:highlight w:val="none"/>
        </w:rPr>
        <w:t>在用电过程中的权利和义务</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实行安全、合理的用电，本着双方</w:t>
      </w:r>
      <w:r>
        <w:rPr>
          <w:rFonts w:hint="eastAsia" w:ascii="仿宋_GB2312" w:hAnsi="仿宋_GB2312" w:eastAsia="仿宋_GB2312" w:cs="仿宋_GB2312"/>
          <w:color w:val="auto"/>
          <w:sz w:val="28"/>
          <w:szCs w:val="28"/>
          <w:highlight w:val="none"/>
          <w:lang w:eastAsia="zh-CN"/>
        </w:rPr>
        <w:t>自</w:t>
      </w:r>
      <w:r>
        <w:rPr>
          <w:rFonts w:hint="eastAsia" w:ascii="仿宋_GB2312" w:hAnsi="仿宋_GB2312" w:eastAsia="仿宋_GB2312" w:cs="仿宋_GB2312"/>
          <w:color w:val="auto"/>
          <w:sz w:val="28"/>
          <w:szCs w:val="28"/>
          <w:highlight w:val="none"/>
        </w:rPr>
        <w:t>愿的原则，经甲乙双方协商，</w:t>
      </w:r>
      <w:r>
        <w:rPr>
          <w:rFonts w:hint="eastAsia" w:ascii="仿宋_GB2312" w:hAnsi="仿宋_GB2312" w:eastAsia="仿宋_GB2312" w:cs="仿宋_GB2312"/>
          <w:color w:val="auto"/>
          <w:sz w:val="28"/>
          <w:szCs w:val="28"/>
          <w:highlight w:val="none"/>
          <w:lang w:eastAsia="zh-CN"/>
        </w:rPr>
        <w:t>在甲</w:t>
      </w:r>
      <w:r>
        <w:rPr>
          <w:rFonts w:hint="eastAsia" w:ascii="仿宋_GB2312" w:hAnsi="仿宋_GB2312" w:eastAsia="仿宋_GB2312" w:cs="仿宋_GB2312"/>
          <w:color w:val="auto"/>
          <w:sz w:val="28"/>
          <w:szCs w:val="28"/>
          <w:highlight w:val="none"/>
          <w:lang w:val="en-US" w:eastAsia="zh-CN"/>
        </w:rPr>
        <w:t>乙双</w:t>
      </w:r>
      <w:r>
        <w:rPr>
          <w:rFonts w:hint="eastAsia" w:ascii="仿宋_GB2312" w:hAnsi="仿宋_GB2312" w:eastAsia="仿宋_GB2312" w:cs="仿宋_GB2312"/>
          <w:color w:val="auto"/>
          <w:sz w:val="28"/>
          <w:szCs w:val="28"/>
          <w:highlight w:val="none"/>
          <w:lang w:eastAsia="zh-CN"/>
        </w:rPr>
        <w:t>方</w:t>
      </w:r>
      <w:r>
        <w:rPr>
          <w:rFonts w:hint="eastAsia" w:ascii="仿宋_GB2312" w:hAnsi="仿宋_GB2312" w:eastAsia="仿宋_GB2312" w:cs="仿宋_GB2312"/>
          <w:color w:val="auto"/>
          <w:sz w:val="28"/>
          <w:szCs w:val="28"/>
          <w:highlight w:val="none"/>
          <w:lang w:val="en-US" w:eastAsia="zh-CN"/>
        </w:rPr>
        <w:t>签</w:t>
      </w:r>
      <w:r>
        <w:rPr>
          <w:rFonts w:hint="eastAsia" w:ascii="仿宋_GB2312" w:hAnsi="仿宋_GB2312" w:eastAsia="仿宋_GB2312" w:cs="仿宋_GB2312"/>
          <w:color w:val="auto"/>
          <w:sz w:val="28"/>
          <w:szCs w:val="28"/>
          <w:highlight w:val="none"/>
          <w:lang w:eastAsia="zh-CN"/>
        </w:rPr>
        <w:t>订的租赁合</w:t>
      </w:r>
      <w:r>
        <w:rPr>
          <w:rFonts w:hint="eastAsia" w:ascii="仿宋_GB2312" w:hAnsi="仿宋_GB2312" w:eastAsia="仿宋_GB2312" w:cs="仿宋_GB2312"/>
          <w:color w:val="auto"/>
          <w:sz w:val="28"/>
          <w:szCs w:val="28"/>
          <w:highlight w:val="none"/>
        </w:rPr>
        <w:t>同的基础上签订本补充协议</w:t>
      </w:r>
      <w:r>
        <w:rPr>
          <w:rFonts w:hint="eastAsia" w:ascii="仿宋_GB2312" w:hAnsi="仿宋_GB2312" w:eastAsia="仿宋_GB2312" w:cs="仿宋_GB2312"/>
          <w:color w:val="auto"/>
          <w:sz w:val="28"/>
          <w:szCs w:val="28"/>
          <w:highlight w:val="none"/>
          <w:lang w:eastAsia="zh-CN"/>
        </w:rPr>
        <w:t>。</w:t>
      </w:r>
    </w:p>
    <w:p>
      <w:pPr>
        <w:pStyle w:val="8"/>
        <w:keepNext w:val="0"/>
        <w:keepLines w:val="0"/>
        <w:pageBreakBefore w:val="0"/>
        <w:widowControl w:val="0"/>
        <w:numPr>
          <w:ilvl w:val="0"/>
          <w:numId w:val="0"/>
        </w:numPr>
        <w:tabs>
          <w:tab w:val="left" w:pos="947"/>
        </w:tabs>
        <w:kinsoku/>
        <w:wordWrap/>
        <w:overflowPunct/>
        <w:topLinePunct w:val="0"/>
        <w:autoSpaceDE/>
        <w:autoSpaceDN/>
        <w:bidi w:val="0"/>
        <w:adjustRightInd/>
        <w:snapToGrid/>
        <w:spacing w:line="400" w:lineRule="exact"/>
        <w:ind w:left="0" w:leftChars="0" w:firstLine="560" w:firstLineChars="200"/>
        <w:jc w:val="both"/>
        <w:textAlignment w:val="auto"/>
        <w:rPr>
          <w:rFonts w:hint="eastAsia" w:ascii="黑体" w:hAnsi="黑体" w:eastAsia="黑体" w:cs="黑体"/>
          <w:b w:val="0"/>
          <w:bCs/>
          <w:color w:val="auto"/>
          <w:sz w:val="28"/>
          <w:szCs w:val="28"/>
          <w:highlight w:val="none"/>
        </w:rPr>
      </w:pPr>
      <w:r>
        <w:rPr>
          <w:rFonts w:hint="eastAsia" w:ascii="黑体" w:hAnsi="黑体" w:eastAsia="黑体" w:cs="黑体"/>
          <w:b w:val="0"/>
          <w:bCs/>
          <w:color w:val="auto"/>
          <w:sz w:val="28"/>
          <w:szCs w:val="28"/>
          <w:highlight w:val="none"/>
          <w:lang w:eastAsia="zh-CN"/>
        </w:rPr>
        <w:t>一、</w:t>
      </w:r>
      <w:r>
        <w:rPr>
          <w:rFonts w:hint="eastAsia" w:ascii="黑体" w:hAnsi="黑体" w:eastAsia="黑体" w:cs="黑体"/>
          <w:b w:val="0"/>
          <w:bCs/>
          <w:color w:val="auto"/>
          <w:sz w:val="28"/>
          <w:szCs w:val="28"/>
          <w:highlight w:val="none"/>
        </w:rPr>
        <w:t>电</w:t>
      </w:r>
      <w:r>
        <w:rPr>
          <w:rFonts w:hint="eastAsia" w:ascii="黑体" w:hAnsi="黑体" w:eastAsia="黑体" w:cs="黑体"/>
          <w:b w:val="0"/>
          <w:bCs/>
          <w:color w:val="auto"/>
          <w:sz w:val="28"/>
          <w:szCs w:val="28"/>
          <w:highlight w:val="none"/>
          <w:lang w:eastAsia="zh-CN"/>
        </w:rPr>
        <w:t>费</w:t>
      </w:r>
      <w:r>
        <w:rPr>
          <w:rFonts w:hint="eastAsia" w:ascii="黑体" w:hAnsi="黑体" w:eastAsia="黑体" w:cs="黑体"/>
          <w:b w:val="0"/>
          <w:bCs/>
          <w:color w:val="auto"/>
          <w:sz w:val="28"/>
          <w:szCs w:val="28"/>
          <w:highlight w:val="none"/>
        </w:rPr>
        <w:t>结算</w:t>
      </w:r>
    </w:p>
    <w:p>
      <w:pPr>
        <w:pStyle w:val="8"/>
        <w:keepNext w:val="0"/>
        <w:keepLines w:val="0"/>
        <w:pageBreakBefore w:val="0"/>
        <w:widowControl w:val="0"/>
        <w:tabs>
          <w:tab w:val="left" w:pos="844"/>
        </w:tabs>
        <w:kinsoku/>
        <w:wordWrap/>
        <w:overflowPunct/>
        <w:topLinePunct w:val="0"/>
        <w:autoSpaceDE/>
        <w:autoSpaceDN/>
        <w:bidi w:val="0"/>
        <w:adjustRightInd/>
        <w:snapToGrid/>
        <w:spacing w:line="400" w:lineRule="exact"/>
        <w:ind w:left="0" w:firstLine="560" w:firstLineChars="200"/>
        <w:jc w:val="both"/>
        <w:textAlignment w:val="auto"/>
        <w:rPr>
          <w:rFonts w:hint="eastAsia" w:ascii="仿宋_GB2312" w:hAnsi="仿宋_GB2312" w:eastAsia="仿宋_GB2312" w:cs="仿宋_GB2312"/>
          <w:color w:val="auto"/>
          <w:sz w:val="28"/>
          <w:szCs w:val="28"/>
          <w:highlight w:val="none"/>
        </w:rPr>
      </w:pPr>
      <w:bookmarkStart w:id="3" w:name="bookmark4"/>
      <w:bookmarkEnd w:id="3"/>
      <w:r>
        <w:rPr>
          <w:rFonts w:hint="eastAsia" w:ascii="仿宋_GB2312" w:hAnsi="仿宋_GB2312" w:eastAsia="仿宋_GB2312" w:cs="仿宋_GB2312"/>
          <w:color w:val="auto"/>
          <w:sz w:val="28"/>
          <w:szCs w:val="28"/>
          <w:highlight w:val="none"/>
          <w:lang w:eastAsia="zh-CN"/>
        </w:rPr>
        <w:t>1.电费单</w:t>
      </w:r>
      <w:r>
        <w:rPr>
          <w:rFonts w:hint="eastAsia" w:ascii="仿宋_GB2312" w:hAnsi="仿宋_GB2312" w:eastAsia="仿宋_GB2312" w:cs="仿宋_GB2312"/>
          <w:color w:val="auto"/>
          <w:sz w:val="28"/>
          <w:szCs w:val="28"/>
          <w:highlight w:val="none"/>
        </w:rPr>
        <w:t>价</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电力</w:t>
      </w:r>
      <w:r>
        <w:rPr>
          <w:rFonts w:hint="eastAsia" w:ascii="仿宋_GB2312" w:hAnsi="仿宋_GB2312" w:eastAsia="仿宋_GB2312" w:cs="仿宋_GB2312"/>
          <w:color w:val="auto"/>
          <w:sz w:val="28"/>
          <w:szCs w:val="28"/>
          <w:highlight w:val="none"/>
          <w:lang w:eastAsia="zh-CN"/>
        </w:rPr>
        <w:t>部</w:t>
      </w:r>
      <w:r>
        <w:rPr>
          <w:rFonts w:hint="eastAsia" w:ascii="仿宋_GB2312" w:hAnsi="仿宋_GB2312" w:eastAsia="仿宋_GB2312" w:cs="仿宋_GB2312"/>
          <w:color w:val="auto"/>
          <w:sz w:val="28"/>
          <w:szCs w:val="28"/>
          <w:highlight w:val="none"/>
        </w:rPr>
        <w:t>门抄表总电费/非直抄用户的总用电量</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（如电力部门调整电价，</w:t>
      </w:r>
      <w:r>
        <w:rPr>
          <w:rFonts w:hint="eastAsia" w:ascii="仿宋_GB2312" w:hAnsi="仿宋_GB2312" w:eastAsia="仿宋_GB2312" w:cs="仿宋_GB2312"/>
          <w:color w:val="auto"/>
          <w:sz w:val="28"/>
          <w:szCs w:val="28"/>
          <w:highlight w:val="none"/>
          <w:lang w:eastAsia="zh-CN"/>
        </w:rPr>
        <w:t>甲</w:t>
      </w:r>
      <w:r>
        <w:rPr>
          <w:rFonts w:hint="eastAsia" w:ascii="仿宋_GB2312" w:hAnsi="仿宋_GB2312" w:eastAsia="仿宋_GB2312" w:cs="仿宋_GB2312"/>
          <w:color w:val="auto"/>
          <w:sz w:val="28"/>
          <w:szCs w:val="28"/>
          <w:highlight w:val="none"/>
        </w:rPr>
        <w:t>方依据电价情况可适当调</w:t>
      </w:r>
      <w:r>
        <w:rPr>
          <w:rFonts w:hint="eastAsia" w:ascii="仿宋_GB2312" w:hAnsi="仿宋_GB2312" w:eastAsia="仿宋_GB2312" w:cs="仿宋_GB2312"/>
          <w:color w:val="auto"/>
          <w:sz w:val="28"/>
          <w:szCs w:val="28"/>
          <w:highlight w:val="none"/>
          <w:lang w:eastAsia="zh-CN"/>
        </w:rPr>
        <w:t>整）。</w:t>
      </w:r>
    </w:p>
    <w:p>
      <w:pPr>
        <w:pStyle w:val="8"/>
        <w:keepNext w:val="0"/>
        <w:keepLines w:val="0"/>
        <w:pageBreakBefore w:val="0"/>
        <w:widowControl w:val="0"/>
        <w:tabs>
          <w:tab w:val="left" w:pos="844"/>
        </w:tabs>
        <w:kinsoku/>
        <w:wordWrap/>
        <w:overflowPunct/>
        <w:topLinePunct w:val="0"/>
        <w:autoSpaceDE/>
        <w:autoSpaceDN/>
        <w:bidi w:val="0"/>
        <w:adjustRightInd/>
        <w:snapToGrid/>
        <w:spacing w:line="400" w:lineRule="exact"/>
        <w:ind w:left="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2.电表总表账户名称为甲方，甲方需承担线路损耗和进行电费垫资，会产生电费的垫资风险，经甲、乙双方协商，乙方同意甲方每月另行收取</w:t>
      </w:r>
      <w:r>
        <w:rPr>
          <w:rFonts w:hint="eastAsia" w:ascii="仿宋_GB2312" w:hAnsi="仿宋_GB2312" w:eastAsia="仿宋_GB2312" w:cs="仿宋_GB2312"/>
          <w:color w:val="auto"/>
          <w:sz w:val="28"/>
          <w:szCs w:val="28"/>
          <w:highlight w:val="none"/>
          <w:u w:val="single"/>
          <w:lang w:eastAsia="zh-CN"/>
        </w:rPr>
        <w:t>0.2元/度</w:t>
      </w:r>
      <w:r>
        <w:rPr>
          <w:rFonts w:hint="eastAsia" w:ascii="仿宋_GB2312" w:hAnsi="仿宋_GB2312" w:eastAsia="仿宋_GB2312" w:cs="仿宋_GB2312"/>
          <w:color w:val="auto"/>
          <w:sz w:val="28"/>
          <w:szCs w:val="28"/>
          <w:highlight w:val="none"/>
          <w:lang w:eastAsia="zh-CN"/>
        </w:rPr>
        <w:t>商务辅助服务费。</w:t>
      </w:r>
    </w:p>
    <w:p>
      <w:pPr>
        <w:pStyle w:val="8"/>
        <w:keepNext w:val="0"/>
        <w:keepLines w:val="0"/>
        <w:pageBreakBefore w:val="0"/>
        <w:widowControl w:val="0"/>
        <w:tabs>
          <w:tab w:val="left" w:pos="844"/>
        </w:tabs>
        <w:kinsoku/>
        <w:wordWrap/>
        <w:overflowPunct/>
        <w:topLinePunct w:val="0"/>
        <w:autoSpaceDE/>
        <w:autoSpaceDN/>
        <w:bidi w:val="0"/>
        <w:adjustRightInd/>
        <w:snapToGrid/>
        <w:spacing w:line="400" w:lineRule="exact"/>
        <w:ind w:left="0" w:firstLine="560" w:firstLineChars="200"/>
        <w:jc w:val="both"/>
        <w:textAlignment w:val="auto"/>
        <w:rPr>
          <w:rFonts w:hint="eastAsia" w:ascii="黑体" w:hAnsi="黑体" w:eastAsia="黑体" w:cs="黑体"/>
          <w:b w:val="0"/>
          <w:bCs/>
          <w:color w:val="auto"/>
          <w:sz w:val="28"/>
          <w:szCs w:val="28"/>
          <w:highlight w:val="none"/>
          <w:lang w:eastAsia="zh-CN"/>
        </w:rPr>
      </w:pPr>
      <w:r>
        <w:rPr>
          <w:rFonts w:hint="eastAsia" w:ascii="黑体" w:hAnsi="黑体" w:eastAsia="黑体" w:cs="黑体"/>
          <w:b w:val="0"/>
          <w:bCs/>
          <w:color w:val="auto"/>
          <w:sz w:val="28"/>
          <w:szCs w:val="28"/>
          <w:highlight w:val="none"/>
          <w:lang w:eastAsia="zh-CN"/>
        </w:rPr>
        <w:t>二、其他</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auto"/>
        <w:rPr>
          <w:rFonts w:hint="eastAsia" w:ascii="仿宋_GB2312" w:hAnsi="仿宋_GB2312" w:eastAsia="仿宋_GB2312" w:cs="仿宋_GB2312"/>
          <w:color w:val="auto"/>
          <w:sz w:val="28"/>
          <w:szCs w:val="28"/>
          <w:highlight w:val="none"/>
          <w:lang w:eastAsia="zh-CN"/>
        </w:rPr>
      </w:pPr>
      <w:bookmarkStart w:id="4" w:name="bookmark7"/>
      <w:bookmarkEnd w:id="4"/>
      <w:r>
        <w:rPr>
          <w:rFonts w:hint="eastAsia" w:ascii="仿宋_GB2312" w:hAnsi="仿宋_GB2312" w:eastAsia="仿宋_GB2312" w:cs="仿宋_GB2312"/>
          <w:color w:val="auto"/>
          <w:sz w:val="28"/>
          <w:szCs w:val="28"/>
          <w:highlight w:val="none"/>
          <w:lang w:eastAsia="zh-CN"/>
        </w:rPr>
        <w:t>1.乙方应当于每月</w:t>
      </w:r>
      <w:r>
        <w:rPr>
          <w:rFonts w:hint="eastAsia" w:ascii="仿宋_GB2312" w:hAnsi="仿宋_GB2312" w:eastAsia="仿宋_GB2312" w:cs="仿宋_GB2312"/>
          <w:color w:val="auto"/>
          <w:sz w:val="28"/>
          <w:szCs w:val="28"/>
          <w:highlight w:val="none"/>
          <w:u w:val="single"/>
          <w:lang w:eastAsia="zh-CN"/>
        </w:rPr>
        <w:t>2</w:t>
      </w:r>
      <w:r>
        <w:rPr>
          <w:rFonts w:hint="eastAsia" w:ascii="仿宋_GB2312" w:hAnsi="仿宋_GB2312" w:eastAsia="仿宋_GB2312" w:cs="仿宋_GB2312"/>
          <w:color w:val="auto"/>
          <w:sz w:val="28"/>
          <w:szCs w:val="28"/>
          <w:highlight w:val="none"/>
          <w:u w:val="single"/>
          <w:lang w:val="en-US" w:eastAsia="zh-CN"/>
        </w:rPr>
        <w:t>0</w:t>
      </w:r>
      <w:r>
        <w:rPr>
          <w:rFonts w:hint="eastAsia" w:ascii="仿宋_GB2312" w:hAnsi="仿宋_GB2312" w:eastAsia="仿宋_GB2312" w:cs="仿宋_GB2312"/>
          <w:color w:val="auto"/>
          <w:sz w:val="28"/>
          <w:szCs w:val="28"/>
          <w:highlight w:val="none"/>
          <w:lang w:eastAsia="zh-CN"/>
        </w:rPr>
        <w:t>日之前付清上月电费，不得以任何方式，任何理由拒付电费。乙方未能按时付清电费时，应承担电费滞纳的违约责任。乙方同意甲方向乙方计收电费滞纳违约金。电费违约金从逾期之日起计算至缴纳日止，电费违约金每日按欠费总额的千分之一计算，自逾期之日起超过20日，经甲方催缴，乙方仍未付清电费的为乙方违约，甲方有权采取限电措施，限电措施包括但不限于发催收函、发律师函、停止向乙方供电等措施，并追收所欠电费和电费违约金。</w:t>
      </w:r>
    </w:p>
    <w:p>
      <w:pPr>
        <w:keepNext w:val="0"/>
        <w:keepLines w:val="0"/>
        <w:pageBreakBefore w:val="0"/>
        <w:widowControl w:val="0"/>
        <w:kinsoku/>
        <w:wordWrap/>
        <w:overflowPunct/>
        <w:topLinePunct w:val="0"/>
        <w:autoSpaceDE/>
        <w:autoSpaceDN/>
        <w:bidi w:val="0"/>
        <w:adjustRightInd/>
        <w:snapToGrid/>
        <w:spacing w:line="400" w:lineRule="exact"/>
        <w:ind w:left="0"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2.签订本合同时，乙方向甲方交付人民币</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color w:val="auto"/>
          <w:sz w:val="28"/>
          <w:szCs w:val="28"/>
          <w:highlight w:val="none"/>
          <w:u w:val="none"/>
          <w:lang w:val="en-US" w:eastAsia="zh-CN"/>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lang w:val="en-US" w:eastAsia="zh-CN"/>
        </w:rPr>
        <w:t>元）</w:t>
      </w:r>
      <w:r>
        <w:rPr>
          <w:rFonts w:hint="eastAsia" w:ascii="仿宋_GB2312" w:hAnsi="仿宋_GB2312" w:eastAsia="仿宋_GB2312" w:cs="仿宋_GB2312"/>
          <w:color w:val="auto"/>
          <w:sz w:val="28"/>
          <w:szCs w:val="28"/>
          <w:highlight w:val="none"/>
          <w:lang w:val="en-US" w:eastAsia="zh-CN"/>
        </w:rPr>
        <w:t>作为本合同的履</w:t>
      </w:r>
      <w:r>
        <w:rPr>
          <w:rFonts w:hint="eastAsia" w:ascii="仿宋_GB2312" w:hAnsi="仿宋_GB2312" w:eastAsia="仿宋_GB2312" w:cs="仿宋_GB2312"/>
          <w:color w:val="auto"/>
          <w:kern w:val="2"/>
          <w:sz w:val="28"/>
          <w:szCs w:val="28"/>
          <w:highlight w:val="none"/>
          <w:lang w:val="en-US" w:eastAsia="zh-CN" w:bidi="zh-TW"/>
        </w:rPr>
        <w:t>约保证金（进位取整）。履约保证金用于担保：乙方完全按约定履行本合同，未拖欠水电费。若乙方有违反本合同约定时，甲方有权不予返还履约保证金，且履约保证金不冲抵违约金。在租赁期内无违约，且乙方办妥退租手续，交还租赁物并结清所有相关费用后的十个工作日内，乙方凭保证金收据，到甲方财务部退回履约保证金（不计息）。</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.未经甲方同意，乙方不得随意拆用电线路、改增容增负荷，不得改变用电用途，不得有窃电行为或私自转供电。否则，造成的一切后果，其责任均由乙方负责。</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.为保证安全供电，甲方有权随时对乙方的安全用电情况进行检查。</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eastAsia="zh-CN"/>
        </w:rPr>
        <w:t>.安全责任以使用范围划分，乙方用电范围中发生</w:t>
      </w:r>
      <w:r>
        <w:rPr>
          <w:rFonts w:hint="eastAsia" w:ascii="仿宋_GB2312" w:hAnsi="仿宋_GB2312" w:eastAsia="仿宋_GB2312" w:cs="仿宋_GB2312"/>
          <w:color w:val="auto"/>
          <w:sz w:val="28"/>
          <w:szCs w:val="28"/>
          <w:highlight w:val="none"/>
          <w:lang w:val="en-US" w:eastAsia="zh-CN"/>
        </w:rPr>
        <w:t>的</w:t>
      </w:r>
      <w:r>
        <w:rPr>
          <w:rFonts w:hint="eastAsia" w:ascii="仿宋_GB2312" w:hAnsi="仿宋_GB2312" w:eastAsia="仿宋_GB2312" w:cs="仿宋_GB2312"/>
          <w:color w:val="auto"/>
          <w:sz w:val="28"/>
          <w:szCs w:val="28"/>
          <w:highlight w:val="none"/>
          <w:lang w:eastAsia="zh-CN"/>
        </w:rPr>
        <w:t>一切设备事故、人身安全事故、其他责任纠纷由乙方自行负责，甲方不负任何责任及费用。</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lang w:eastAsia="zh-CN"/>
        </w:rPr>
        <w:t>.乙方因用电管理不善及超协议增容或增加用电负荷，造成甲方供电线路、设备及供电网所带用户电器设备损坏及其他责任事故的，一切责任及费用均由乙方承担。</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本协议</w:t>
      </w:r>
      <w:r>
        <w:rPr>
          <w:rFonts w:hint="eastAsia" w:ascii="仿宋_GB2312" w:hAnsi="仿宋_GB2312" w:eastAsia="仿宋_GB2312" w:cs="仿宋_GB2312"/>
          <w:color w:val="auto"/>
          <w:sz w:val="28"/>
          <w:szCs w:val="28"/>
          <w:highlight w:val="none"/>
          <w:lang w:val="en-US" w:eastAsia="zh-CN"/>
        </w:rPr>
        <w:t>壹</w:t>
      </w:r>
      <w:r>
        <w:rPr>
          <w:rFonts w:hint="eastAsia" w:ascii="仿宋_GB2312" w:hAnsi="仿宋_GB2312" w:eastAsia="仿宋_GB2312" w:cs="仿宋_GB2312"/>
          <w:color w:val="auto"/>
          <w:sz w:val="28"/>
          <w:szCs w:val="28"/>
          <w:highlight w:val="none"/>
          <w:lang w:eastAsia="zh-CN"/>
        </w:rPr>
        <w:t>式贰份，甲、乙双方各持壹份。本协议自甲、乙双方签字、</w:t>
      </w:r>
      <w:r>
        <w:rPr>
          <w:rFonts w:hint="eastAsia" w:ascii="仿宋_GB2312" w:hAnsi="仿宋_GB2312" w:eastAsia="仿宋_GB2312" w:cs="仿宋_GB2312"/>
          <w:color w:val="auto"/>
          <w:sz w:val="28"/>
          <w:szCs w:val="28"/>
          <w:highlight w:val="none"/>
          <w:lang w:val="en-US" w:eastAsia="zh-CN"/>
        </w:rPr>
        <w:t>盖章后生效。</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Cs w:val="0"/>
          <w:color w:val="auto"/>
          <w:sz w:val="28"/>
          <w:szCs w:val="28"/>
          <w:highlight w:val="none"/>
          <w:lang w:val="en-US" w:eastAsia="zh-CN" w:bidi="zh-TW"/>
        </w:rPr>
        <w:t>8.本协议是《租赁合同》（编号:</w:t>
      </w:r>
      <w:r>
        <w:rPr>
          <w:rFonts w:hint="eastAsia" w:ascii="仿宋_GB2312" w:hAnsi="仿宋_GB2312" w:eastAsia="仿宋_GB2312" w:cs="仿宋_GB2312"/>
          <w:color w:val="auto"/>
          <w:sz w:val="28"/>
          <w:szCs w:val="28"/>
          <w:highlight w:val="none"/>
          <w:lang w:val="en-US" w:eastAsia="zh-CN"/>
        </w:rPr>
        <w:t>GTZC-投资-年度-XXX</w:t>
      </w:r>
      <w:r>
        <w:rPr>
          <w:rFonts w:hint="eastAsia" w:ascii="仿宋_GB2312" w:hAnsi="仿宋_GB2312" w:eastAsia="仿宋_GB2312" w:cs="仿宋_GB2312"/>
          <w:bCs w:val="0"/>
          <w:color w:val="auto"/>
          <w:sz w:val="28"/>
          <w:szCs w:val="28"/>
          <w:highlight w:val="none"/>
          <w:lang w:val="en-US" w:eastAsia="zh-CN" w:bidi="zh-TW"/>
        </w:rPr>
        <w:t>，以下简称“主合同”)的从合同,与主合同时效相同，主合同到期后，本协议同时终止。</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auto"/>
        <w:rPr>
          <w:rFonts w:hint="eastAsia" w:ascii="仿宋_GB2312" w:hAnsi="仿宋_GB2312" w:eastAsia="仿宋_GB2312" w:cs="仿宋_GB2312"/>
          <w:color w:val="auto"/>
          <w:sz w:val="28"/>
          <w:szCs w:val="28"/>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0"/>
          <w:sz w:val="28"/>
          <w:szCs w:val="28"/>
          <w:highlight w:val="none"/>
          <w:lang w:eastAsia="zh-CN"/>
        </w:rPr>
        <w:t>甲方（公章）：</w:t>
      </w:r>
      <w:r>
        <w:rPr>
          <w:rFonts w:hint="eastAsia" w:ascii="仿宋_GB2312" w:hAnsi="仿宋_GB2312" w:eastAsia="仿宋_GB2312" w:cs="仿宋_GB2312"/>
          <w:bCs/>
          <w:color w:val="auto"/>
          <w:spacing w:val="-45"/>
          <w:sz w:val="28"/>
          <w:szCs w:val="28"/>
          <w:highlight w:val="none"/>
          <w:lang w:eastAsia="zh-CN"/>
        </w:rPr>
        <w:t>龙岩市国有资产投资经营有限公司</w:t>
      </w:r>
      <w:r>
        <w:rPr>
          <w:rFonts w:hint="eastAsia" w:ascii="仿宋_GB2312" w:hAnsi="仿宋_GB2312" w:eastAsia="仿宋_GB2312" w:cs="仿宋_GB2312"/>
          <w:color w:val="auto"/>
          <w:spacing w:val="-34"/>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pacing w:val="-20"/>
          <w:sz w:val="28"/>
          <w:szCs w:val="28"/>
          <w:highlight w:val="none"/>
          <w:lang w:eastAsia="zh-CN"/>
        </w:rPr>
        <w:t>法定代表人（签</w:t>
      </w:r>
      <w:r>
        <w:rPr>
          <w:rFonts w:hint="eastAsia" w:ascii="仿宋_GB2312" w:hAnsi="仿宋_GB2312" w:eastAsia="仿宋_GB2312" w:cs="仿宋_GB2312"/>
          <w:color w:val="auto"/>
          <w:spacing w:val="-20"/>
          <w:sz w:val="28"/>
          <w:szCs w:val="28"/>
          <w:highlight w:val="none"/>
          <w:lang w:val="en-US" w:eastAsia="zh-CN"/>
        </w:rPr>
        <w:t>字或盖</w:t>
      </w:r>
      <w:r>
        <w:rPr>
          <w:rFonts w:hint="eastAsia" w:ascii="仿宋_GB2312" w:hAnsi="仿宋_GB2312" w:eastAsia="仿宋_GB2312" w:cs="仿宋_GB2312"/>
          <w:color w:val="auto"/>
          <w:spacing w:val="-20"/>
          <w:sz w:val="28"/>
          <w:szCs w:val="28"/>
          <w:highlight w:val="none"/>
          <w:lang w:eastAsia="zh-CN"/>
        </w:rPr>
        <w:t>章）：</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color w:val="auto"/>
          <w:spacing w:val="-20"/>
          <w:sz w:val="28"/>
          <w:szCs w:val="28"/>
          <w:highlight w:val="none"/>
          <w:lang w:eastAsia="zh-CN"/>
        </w:rPr>
        <w:t>开户银行：</w:t>
      </w:r>
      <w:r>
        <w:rPr>
          <w:rFonts w:hint="eastAsia" w:ascii="仿宋_GB2312" w:hAnsi="仿宋_GB2312" w:eastAsia="仿宋_GB2312" w:cs="仿宋_GB2312"/>
          <w:bCs/>
          <w:color w:val="auto"/>
          <w:spacing w:val="-20"/>
          <w:sz w:val="28"/>
          <w:szCs w:val="28"/>
          <w:highlight w:val="none"/>
          <w:lang w:eastAsia="zh-CN"/>
        </w:rPr>
        <w:t>福建龙岩农村商业银行营业部</w:t>
      </w:r>
      <w:r>
        <w:rPr>
          <w:rFonts w:hint="eastAsia" w:ascii="仿宋_GB2312" w:hAnsi="仿宋_GB2312" w:eastAsia="仿宋_GB2312" w:cs="仿宋_GB2312"/>
          <w:bCs/>
          <w:color w:val="auto"/>
          <w:spacing w:val="-20"/>
          <w:sz w:val="28"/>
          <w:szCs w:val="28"/>
          <w:highlight w:val="none"/>
          <w:lang w:val="en-US" w:eastAsia="zh-CN"/>
        </w:rPr>
        <w:t xml:space="preserve">     </w:t>
      </w:r>
      <w:r>
        <w:rPr>
          <w:rFonts w:hint="eastAsia" w:ascii="仿宋_GB2312" w:hAnsi="仿宋_GB2312" w:eastAsia="仿宋_GB2312" w:cs="仿宋_GB2312"/>
          <w:color w:val="auto"/>
          <w:spacing w:val="-20"/>
          <w:sz w:val="28"/>
          <w:szCs w:val="28"/>
          <w:highlight w:val="none"/>
          <w:lang w:eastAsia="zh-CN"/>
        </w:rPr>
        <w:t xml:space="preserve">银行账号：9090210010010000360896 </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both"/>
        <w:textAlignment w:val="auto"/>
        <w:rPr>
          <w:rFonts w:hint="eastAsia" w:ascii="仿宋_GB2312" w:hAnsi="仿宋_GB2312" w:eastAsia="仿宋_GB2312" w:cs="仿宋_GB2312"/>
          <w:color w:val="auto"/>
          <w:sz w:val="28"/>
          <w:szCs w:val="28"/>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乙方（签</w:t>
      </w:r>
      <w:r>
        <w:rPr>
          <w:rFonts w:hint="eastAsia" w:ascii="仿宋_GB2312" w:hAnsi="仿宋_GB2312" w:eastAsia="仿宋_GB2312" w:cs="仿宋_GB2312"/>
          <w:color w:val="auto"/>
          <w:sz w:val="28"/>
          <w:szCs w:val="28"/>
          <w:highlight w:val="none"/>
          <w:lang w:val="en-US" w:eastAsia="zh-CN"/>
        </w:rPr>
        <w:t>字或盖</w:t>
      </w:r>
      <w:r>
        <w:rPr>
          <w:rFonts w:hint="eastAsia" w:ascii="仿宋_GB2312" w:hAnsi="仿宋_GB2312" w:eastAsia="仿宋_GB2312" w:cs="仿宋_GB2312"/>
          <w:color w:val="auto"/>
          <w:sz w:val="28"/>
          <w:szCs w:val="28"/>
          <w:highlight w:val="none"/>
          <w:lang w:eastAsia="zh-CN"/>
        </w:rPr>
        <w:t xml:space="preserve">章）： </w:t>
      </w:r>
      <w:r>
        <w:rPr>
          <w:rFonts w:hint="eastAsia" w:ascii="仿宋_GB2312" w:hAnsi="仿宋_GB2312" w:eastAsia="仿宋_GB2312" w:cs="仿宋_GB2312"/>
          <w:color w:val="auto"/>
          <w:sz w:val="28"/>
          <w:szCs w:val="28"/>
          <w:highlight w:val="none"/>
          <w:lang w:val="en-US" w:eastAsia="zh-CN"/>
        </w:rPr>
        <w:t xml:space="preserve">              联系</w:t>
      </w:r>
      <w:r>
        <w:rPr>
          <w:rFonts w:hint="eastAsia" w:ascii="仿宋_GB2312" w:hAnsi="仿宋_GB2312" w:eastAsia="仿宋_GB2312" w:cs="仿宋_GB2312"/>
          <w:color w:val="auto"/>
          <w:sz w:val="28"/>
          <w:szCs w:val="28"/>
          <w:highlight w:val="none"/>
          <w:lang w:eastAsia="zh-CN"/>
        </w:rPr>
        <w:t>电话:</w:t>
      </w: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eastAsia="zh-CN"/>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p>
    <w:p>
      <w:pPr>
        <w:pStyle w:val="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身份证号码：</w:t>
      </w:r>
    </w:p>
    <w:p>
      <w:pPr>
        <w:pStyle w:val="8"/>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Cs/>
          <w:color w:val="auto"/>
          <w:sz w:val="28"/>
          <w:szCs w:val="28"/>
          <w:highlight w:val="none"/>
          <w:lang w:bidi="zh-TW"/>
        </w:rPr>
      </w:pPr>
    </w:p>
    <w:p>
      <w:pPr>
        <w:pStyle w:val="8"/>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仿宋_GB2312" w:hAnsi="仿宋_GB2312" w:eastAsia="仿宋_GB2312" w:cs="仿宋_GB2312"/>
          <w:bCs/>
          <w:color w:val="auto"/>
          <w:sz w:val="28"/>
          <w:szCs w:val="28"/>
          <w:highlight w:val="none"/>
          <w:lang w:bidi="zh-TW"/>
        </w:rPr>
      </w:pPr>
    </w:p>
    <w:p>
      <w:pPr>
        <w:pStyle w:val="2"/>
        <w:jc w:val="center"/>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pPr>
        <w:pStyle w:val="2"/>
        <w:jc w:val="center"/>
        <w:rPr>
          <w:rFonts w:hint="eastAsia" w:ascii="仿宋_GB2312" w:hAnsi="仿宋_GB2312" w:eastAsia="仿宋_GB2312" w:cs="仿宋_GB2312"/>
          <w:bCs/>
          <w:color w:val="auto"/>
          <w:sz w:val="28"/>
          <w:szCs w:val="28"/>
          <w:highlight w:val="none"/>
          <w:lang w:bidi="zh-TW"/>
        </w:rPr>
      </w:pPr>
    </w:p>
    <w:p>
      <w:pPr>
        <w:pStyle w:val="7"/>
        <w:keepNext/>
        <w:keepLines/>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bCs/>
          <w:color w:val="auto"/>
          <w:sz w:val="28"/>
          <w:szCs w:val="28"/>
          <w:highlight w:val="none"/>
          <w:lang w:bidi="zh-TW"/>
        </w:rPr>
      </w:pPr>
      <w:r>
        <w:rPr>
          <w:rFonts w:hint="eastAsia" w:ascii="方正小标宋简体" w:hAnsi="方正小标宋简体" w:eastAsia="方正小标宋简体" w:cs="方正小标宋简体"/>
          <w:bCs/>
          <w:color w:val="auto"/>
          <w:sz w:val="44"/>
          <w:szCs w:val="44"/>
          <w:highlight w:val="none"/>
          <w:lang w:bidi="zh-TW"/>
        </w:rPr>
        <w:t>安全管理协议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方对出租房产进行安全、合理使用情况、守法经营情况和特种设备使用情况有监督检查的义务和责任，定期进行安全检查，对出现安全事故依法由乙方承担的，在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方在必要时,可对乙方的承租房屋内进行消防安全检查。如发现乙方的承租房屋内存有消防安全隐患,有权要求其及时进行整改,在任何时候,如遇火灾等紧急情况, </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方受到处罚的，均由乙方承担赔偿责任及法律责任。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2.由于乙方未履行相关安全维护义务或管理不到位发生安全事故，给甲方或其他人造成损失的，由乙方承担全部责任且甲方有权立即解除合同。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9"/>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p>
    <w:p>
      <w:bookmarkStart w:id="5" w:name="_GoBack"/>
      <w:bookmarkEnd w:id="5"/>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1979CB"/>
    <w:rsid w:val="4C0312A8"/>
    <w:rsid w:val="7AB7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Acetate"/>
    <w:basedOn w:val="1"/>
    <w:semiHidden/>
    <w:qFormat/>
    <w:uiPriority w:val="0"/>
    <w:pPr>
      <w:textAlignment w:val="baseline"/>
    </w:pPr>
    <w:rPr>
      <w:sz w:val="18"/>
      <w:szCs w:val="18"/>
    </w:rPr>
  </w:style>
  <w:style w:type="paragraph" w:styleId="3">
    <w:name w:val="Body Text"/>
    <w:basedOn w:val="1"/>
    <w:qFormat/>
    <w:uiPriority w:val="1"/>
    <w:rPr>
      <w:rFonts w:ascii="宋体" w:hAnsi="宋体" w:cs="宋体"/>
      <w:lang w:val="zh-CN" w:bidi="zh-CN"/>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Heading #1|1"/>
    <w:basedOn w:val="1"/>
    <w:qFormat/>
    <w:uiPriority w:val="0"/>
    <w:pPr>
      <w:spacing w:after="400"/>
      <w:jc w:val="center"/>
      <w:outlineLvl w:val="0"/>
    </w:pPr>
    <w:rPr>
      <w:rFonts w:ascii="MingLiU" w:hAnsi="MingLiU" w:eastAsia="MingLiU" w:cs="MingLiU"/>
      <w:color w:val="auto"/>
      <w:kern w:val="2"/>
      <w:sz w:val="28"/>
      <w:szCs w:val="28"/>
      <w:lang w:val="zh-TW" w:eastAsia="zh-TW" w:bidi="zh-TW"/>
    </w:rPr>
  </w:style>
  <w:style w:type="paragraph" w:customStyle="1" w:styleId="8">
    <w:name w:val="Body text|1"/>
    <w:basedOn w:val="1"/>
    <w:qFormat/>
    <w:uiPriority w:val="0"/>
    <w:pPr>
      <w:spacing w:line="446" w:lineRule="auto"/>
      <w:ind w:firstLine="400"/>
    </w:pPr>
    <w:rPr>
      <w:rFonts w:ascii="MingLiU" w:hAnsi="MingLiU" w:eastAsia="MingLiU" w:cs="MingLiU"/>
      <w:color w:val="2E2929"/>
      <w:kern w:val="2"/>
      <w:sz w:val="20"/>
      <w:szCs w:val="20"/>
      <w:lang w:val="zh-TW" w:eastAsia="zh-TW" w:bidi="zh-TW"/>
    </w:rPr>
  </w:style>
  <w:style w:type="character" w:customStyle="1" w:styleId="9">
    <w:name w:val="r_0_3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2022-06-22T09:42:00Z</dcterms:created>
  <dc:creator>Administrator</dc:creator>
  <cp:lastModifiedBy>毛玉麟</cp:lastModifiedBy>
  <dcterms:modified xsi:type="dcterms:W3CDTF">2024-07-12T07:42:43Z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