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44"/>
          <w:szCs w:val="44"/>
          <w:lang w:eastAsia="zh-CN"/>
        </w:rPr>
      </w:pPr>
      <w:bookmarkStart w:id="0" w:name="_GoBack"/>
      <w:bookmarkEnd w:id="0"/>
    </w:p>
    <w:p>
      <w:pPr>
        <w:jc w:val="center"/>
        <w:rPr>
          <w:rFonts w:hint="eastAsia" w:ascii="仿宋_GB2312" w:hAnsi="仿宋_GB2312" w:eastAsia="仿宋_GB2312" w:cs="仿宋_GB2312"/>
          <w:b/>
          <w:bCs/>
          <w:sz w:val="44"/>
          <w:szCs w:val="44"/>
          <w:lang w:eastAsia="zh-CN"/>
        </w:rPr>
      </w:pPr>
    </w:p>
    <w:p>
      <w:pPr>
        <w:jc w:val="center"/>
        <w:rPr>
          <w:rFonts w:hint="eastAsia" w:ascii="仿宋_GB2312" w:hAnsi="仿宋_GB2312" w:eastAsia="仿宋_GB2312" w:cs="仿宋_GB2312"/>
          <w:b/>
          <w:bCs/>
          <w:sz w:val="44"/>
          <w:szCs w:val="44"/>
          <w:lang w:eastAsia="zh-CN"/>
        </w:rPr>
      </w:pPr>
    </w:p>
    <w:p>
      <w:pPr>
        <w:jc w:val="center"/>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福煤（漳平）煤业有限公司</w:t>
      </w:r>
    </w:p>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pacing w:val="0"/>
          <w:kern w:val="2"/>
          <w:sz w:val="44"/>
          <w:szCs w:val="44"/>
          <w:lang w:eastAsia="zh-CN"/>
        </w:rPr>
        <w:t>原吾祠煤矿+800</w:t>
      </w:r>
      <w:r>
        <w:rPr>
          <w:rFonts w:hint="eastAsia" w:ascii="仿宋_GB2312" w:hAnsi="仿宋_GB2312" w:eastAsia="仿宋_GB2312" w:cs="仿宋_GB2312"/>
          <w:b/>
          <w:bCs/>
          <w:spacing w:val="0"/>
          <w:kern w:val="2"/>
          <w:sz w:val="44"/>
          <w:szCs w:val="44"/>
        </w:rPr>
        <w:t>风井边上的吾祠变电所35KV间隔点资产在其剩余经济寿命年限内的使用权</w:t>
      </w:r>
      <w:r>
        <w:rPr>
          <w:rFonts w:hint="eastAsia" w:ascii="仿宋_GB2312" w:hAnsi="仿宋_GB2312" w:eastAsia="仿宋_GB2312" w:cs="仿宋_GB2312"/>
          <w:b/>
          <w:bCs/>
          <w:spacing w:val="0"/>
          <w:kern w:val="2"/>
          <w:sz w:val="44"/>
          <w:szCs w:val="44"/>
          <w:lang w:val="en-US" w:eastAsia="zh-CN"/>
        </w:rPr>
        <w:t>和原</w:t>
      </w:r>
      <w:r>
        <w:rPr>
          <w:rFonts w:hint="eastAsia" w:ascii="仿宋_GB2312" w:hAnsi="仿宋_GB2312" w:eastAsia="仿宋_GB2312" w:cs="仿宋_GB2312"/>
          <w:b/>
          <w:bCs/>
          <w:spacing w:val="0"/>
          <w:kern w:val="2"/>
          <w:sz w:val="44"/>
          <w:szCs w:val="44"/>
        </w:rPr>
        <w:t>吾祠煤矿35KV供电项目线路工程</w:t>
      </w:r>
      <w:r>
        <w:rPr>
          <w:rFonts w:hint="eastAsia" w:ascii="仿宋_GB2312" w:hAnsi="仿宋_GB2312" w:eastAsia="仿宋_GB2312" w:cs="仿宋_GB2312"/>
          <w:b/>
          <w:bCs/>
          <w:spacing w:val="0"/>
          <w:kern w:val="2"/>
          <w:sz w:val="44"/>
          <w:szCs w:val="44"/>
          <w:lang w:val="en-US" w:eastAsia="zh-CN"/>
        </w:rPr>
        <w:t>所有权</w:t>
      </w:r>
      <w:r>
        <w:rPr>
          <w:rFonts w:hint="eastAsia" w:ascii="仿宋_GB2312" w:hAnsi="仿宋_GB2312" w:eastAsia="仿宋_GB2312" w:cs="仿宋_GB2312"/>
          <w:b/>
          <w:bCs/>
          <w:sz w:val="44"/>
          <w:szCs w:val="44"/>
        </w:rPr>
        <w:t>转让合同</w:t>
      </w:r>
    </w:p>
    <w:p>
      <w:pPr>
        <w:rPr>
          <w:rFonts w:hint="eastAsia" w:ascii="宋体" w:hAnsi="宋体" w:eastAsia="宋体" w:cs="宋体"/>
          <w:sz w:val="30"/>
          <w:szCs w:val="30"/>
        </w:rPr>
      </w:pPr>
      <w:r>
        <w:rPr>
          <w:rFonts w:hint="eastAsia" w:ascii="宋体" w:hAnsi="宋体" w:eastAsia="宋体" w:cs="宋体"/>
          <w:sz w:val="30"/>
          <w:szCs w:val="30"/>
        </w:rPr>
        <w:t> </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28"/>
          <w:szCs w:val="28"/>
        </w:rPr>
      </w:pPr>
    </w:p>
    <w:p>
      <w:pPr>
        <w:spacing w:line="500" w:lineRule="exact"/>
        <w:jc w:val="center"/>
        <w:rPr>
          <w:rFonts w:ascii="宋体" w:hAnsi="宋体"/>
          <w:b/>
          <w:sz w:val="32"/>
          <w:szCs w:val="32"/>
          <w:highlight w:val="none"/>
        </w:rPr>
      </w:pPr>
      <w:r>
        <w:rPr>
          <w:rFonts w:hint="eastAsia" w:ascii="宋体" w:hAnsi="宋体"/>
          <w:b/>
          <w:sz w:val="32"/>
          <w:szCs w:val="32"/>
          <w:highlight w:val="none"/>
        </w:rPr>
        <w:t>合同使用须知</w:t>
      </w:r>
    </w:p>
    <w:p>
      <w:pPr>
        <w:spacing w:line="500" w:lineRule="exact"/>
        <w:rPr>
          <w:rFonts w:ascii="宋体" w:hAnsi="宋体"/>
          <w:sz w:val="28"/>
          <w:szCs w:val="28"/>
          <w:highlight w:val="none"/>
        </w:rPr>
      </w:pPr>
      <w:r>
        <w:rPr>
          <w:rFonts w:hint="eastAsia" w:ascii="宋体" w:hAnsi="宋体"/>
          <w:sz w:val="28"/>
          <w:szCs w:val="28"/>
          <w:highlight w:val="none"/>
        </w:rPr>
        <w:t xml:space="preserve">    </w:t>
      </w:r>
    </w:p>
    <w:p>
      <w:pPr>
        <w:spacing w:line="500" w:lineRule="exact"/>
        <w:ind w:firstLine="480" w:firstLineChars="200"/>
        <w:rPr>
          <w:rFonts w:ascii="宋体" w:hAnsi="宋体"/>
          <w:sz w:val="24"/>
          <w:highlight w:val="none"/>
        </w:rPr>
      </w:pPr>
      <w:r>
        <w:rPr>
          <w:rFonts w:hint="eastAsia" w:ascii="宋体" w:hAnsi="宋体"/>
          <w:sz w:val="24"/>
          <w:highlight w:val="none"/>
        </w:rPr>
        <w:t>一、本合同文本是根据《中华人民共和国民法典》、《所出资企业国有资产交易监督管理办法》制定的示范文本。构成本合同示范文本要件的合同条款均为提示性适用条款。条款所列内容，包括括号中所列内容，均由合同当事人约定时选择采用。</w:t>
      </w:r>
    </w:p>
    <w:p>
      <w:pPr>
        <w:snapToGrid w:val="0"/>
        <w:spacing w:line="500" w:lineRule="exact"/>
        <w:rPr>
          <w:rFonts w:ascii="宋体" w:hAnsi="宋体"/>
          <w:sz w:val="24"/>
          <w:highlight w:val="none"/>
        </w:rPr>
      </w:pPr>
      <w:r>
        <w:rPr>
          <w:rFonts w:hint="eastAsia" w:ascii="宋体" w:hAnsi="宋体"/>
          <w:sz w:val="24"/>
          <w:highlight w:val="none"/>
        </w:rPr>
        <w:t xml:space="preserve">    二、为更好地维护各方当事人的权益，签订合同时应当慎重，力求具体、严密。订立具体条款，需要约定的必须表述清楚，无须约定的用“本合同不涉及此条款”或“本合同对此条款无须约定"加以载明。</w:t>
      </w:r>
    </w:p>
    <w:p>
      <w:pPr>
        <w:snapToGrid w:val="0"/>
        <w:spacing w:line="500" w:lineRule="exact"/>
        <w:rPr>
          <w:rFonts w:ascii="宋体" w:hAnsi="宋体"/>
          <w:sz w:val="24"/>
          <w:highlight w:val="none"/>
        </w:rPr>
      </w:pPr>
      <w:r>
        <w:rPr>
          <w:rFonts w:hint="eastAsia" w:ascii="宋体" w:hAnsi="宋体"/>
          <w:sz w:val="24"/>
          <w:highlight w:val="none"/>
        </w:rPr>
        <w:t xml:space="preserve">    三、转让方：指持有</w:t>
      </w:r>
      <w:r>
        <w:rPr>
          <w:rFonts w:hint="eastAsia" w:ascii="宋体" w:hAnsi="宋体"/>
          <w:sz w:val="24"/>
          <w:highlight w:val="none"/>
          <w:lang w:eastAsia="zh-CN"/>
        </w:rPr>
        <w:t>标的公司</w:t>
      </w:r>
      <w:r>
        <w:rPr>
          <w:rFonts w:hint="eastAsia" w:ascii="宋体" w:hAnsi="宋体"/>
          <w:sz w:val="24"/>
          <w:highlight w:val="none"/>
        </w:rPr>
        <w:t>产权或股权并能够依法转让产权或股权的法人、自然人或者其他组织。</w:t>
      </w:r>
    </w:p>
    <w:p>
      <w:pPr>
        <w:snapToGrid w:val="0"/>
        <w:spacing w:line="500" w:lineRule="exact"/>
        <w:rPr>
          <w:rFonts w:ascii="宋体" w:hAnsi="宋体"/>
          <w:sz w:val="24"/>
          <w:highlight w:val="none"/>
        </w:rPr>
      </w:pPr>
      <w:r>
        <w:rPr>
          <w:rFonts w:hint="eastAsia" w:ascii="宋体" w:hAnsi="宋体"/>
          <w:sz w:val="24"/>
          <w:highlight w:val="none"/>
        </w:rPr>
        <w:t xml:space="preserve">    四、受让方：指通过产权交易机构，以协议转让、拍卖、招投标、网络竞价等有偿方式取得产权或股权的法人、自然人或者其他组织。</w:t>
      </w:r>
    </w:p>
    <w:p>
      <w:pPr>
        <w:snapToGrid w:val="0"/>
        <w:spacing w:line="500" w:lineRule="exact"/>
        <w:rPr>
          <w:rFonts w:ascii="宋体" w:hAnsi="宋体"/>
          <w:sz w:val="24"/>
          <w:highlight w:val="none"/>
        </w:rPr>
      </w:pPr>
      <w:r>
        <w:rPr>
          <w:rFonts w:hint="eastAsia" w:ascii="宋体" w:hAnsi="宋体"/>
          <w:sz w:val="24"/>
          <w:highlight w:val="none"/>
        </w:rPr>
        <w:t xml:space="preserve">    五、合同涉及当事人基本概况的填写：应按合同文本要求载明，企业类型按转让方、受让方的营业执照所确定的类型填写。当事人如系自然人的，应载明其姓名、国籍、身份证号码(护照号码)、居住地址、邮编、电话、开户银行</w:t>
      </w:r>
      <w:r>
        <w:rPr>
          <w:rFonts w:hint="eastAsia" w:ascii="宋体" w:hAnsi="宋体"/>
          <w:sz w:val="24"/>
          <w:highlight w:val="none"/>
          <w:lang w:eastAsia="zh-CN"/>
        </w:rPr>
        <w:t>账</w:t>
      </w:r>
      <w:r>
        <w:rPr>
          <w:rFonts w:hint="eastAsia" w:ascii="宋体" w:hAnsi="宋体"/>
          <w:sz w:val="24"/>
          <w:highlight w:val="none"/>
        </w:rPr>
        <w:t>号等。合同涉及的转让方、受让方是多方的，均应分别载明。</w:t>
      </w:r>
    </w:p>
    <w:p>
      <w:pPr>
        <w:snapToGrid w:val="0"/>
        <w:spacing w:line="500" w:lineRule="exact"/>
        <w:rPr>
          <w:rFonts w:ascii="宋体" w:hAnsi="宋体"/>
          <w:sz w:val="24"/>
          <w:highlight w:val="none"/>
        </w:rPr>
      </w:pPr>
      <w:r>
        <w:rPr>
          <w:rFonts w:hint="eastAsia" w:ascii="宋体" w:hAnsi="宋体"/>
          <w:sz w:val="24"/>
          <w:highlight w:val="none"/>
        </w:rPr>
        <w:t xml:space="preserve">    六、产权转让标的：指法人、自然人或其他组织合法拥有的</w:t>
      </w:r>
      <w:r>
        <w:rPr>
          <w:rFonts w:hint="eastAsia" w:ascii="宋体" w:hAnsi="宋体"/>
          <w:sz w:val="24"/>
          <w:highlight w:val="none"/>
          <w:lang w:eastAsia="zh-CN"/>
        </w:rPr>
        <w:t>标的公司</w:t>
      </w:r>
      <w:r>
        <w:rPr>
          <w:rFonts w:hint="eastAsia" w:ascii="宋体" w:hAnsi="宋体"/>
          <w:sz w:val="24"/>
          <w:highlight w:val="none"/>
        </w:rPr>
        <w:t>产权或股权。</w:t>
      </w:r>
    </w:p>
    <w:p>
      <w:pPr>
        <w:snapToGrid w:val="0"/>
        <w:spacing w:line="500" w:lineRule="exact"/>
        <w:rPr>
          <w:rFonts w:ascii="宋体" w:hAnsi="宋体"/>
          <w:sz w:val="24"/>
          <w:highlight w:val="none"/>
        </w:rPr>
      </w:pPr>
      <w:r>
        <w:rPr>
          <w:rFonts w:hint="eastAsia" w:ascii="宋体" w:hAnsi="宋体"/>
          <w:sz w:val="24"/>
          <w:highlight w:val="none"/>
        </w:rPr>
        <w:t xml:space="preserve">    七、转让价格：企业国有产权转让必须经资产评估后，作为转让价格的参考依据。未经资产评估直接以竞价或协议方式确定价格的，一般只适用非公有经济性质的产权。</w:t>
      </w:r>
    </w:p>
    <w:p>
      <w:pPr>
        <w:snapToGrid w:val="0"/>
        <w:spacing w:line="500" w:lineRule="exact"/>
        <w:rPr>
          <w:rFonts w:ascii="宋体" w:hAnsi="宋体"/>
          <w:sz w:val="24"/>
          <w:highlight w:val="none"/>
        </w:rPr>
      </w:pPr>
      <w:r>
        <w:rPr>
          <w:rFonts w:hint="eastAsia" w:ascii="宋体" w:hAnsi="宋体"/>
          <w:sz w:val="24"/>
          <w:highlight w:val="none"/>
        </w:rPr>
        <w:t xml:space="preserve">    八、产权转让涉及的企业职工安置：指按照有关规定，应约定妥善安置转让企业职工的有关事项。如符合《企业国有资产交易监督管理办法》规定情形的，应附企业职工代表大会审议职工安置方案的决议。</w:t>
      </w:r>
    </w:p>
    <w:p>
      <w:pPr>
        <w:snapToGrid w:val="0"/>
        <w:spacing w:line="500" w:lineRule="exact"/>
        <w:rPr>
          <w:rFonts w:ascii="宋体" w:hAnsi="宋体"/>
          <w:sz w:val="24"/>
          <w:highlight w:val="none"/>
        </w:rPr>
      </w:pPr>
      <w:r>
        <w:rPr>
          <w:rFonts w:hint="eastAsia" w:ascii="宋体" w:hAnsi="宋体"/>
          <w:sz w:val="24"/>
          <w:highlight w:val="none"/>
        </w:rPr>
        <w:t xml:space="preserve">    九、产权转让涉及的企业债权、债务的承继和清偿办法：指转让</w:t>
      </w:r>
      <w:r>
        <w:rPr>
          <w:rFonts w:hint="eastAsia" w:ascii="宋体" w:hAnsi="宋体"/>
          <w:sz w:val="24"/>
          <w:highlight w:val="none"/>
          <w:lang w:eastAsia="zh-CN"/>
        </w:rPr>
        <w:t>标的公司</w:t>
      </w:r>
      <w:r>
        <w:rPr>
          <w:rFonts w:hint="eastAsia" w:ascii="宋体" w:hAnsi="宋体"/>
          <w:sz w:val="24"/>
          <w:highlight w:val="none"/>
        </w:rPr>
        <w:t>涉及的债权、债务包括拖欠职工债务的处理。如符合《企业国有资产交易监督管理办法》规定情形的，应附经债权金融机构书面同意的相关债权债务协议。</w:t>
      </w:r>
    </w:p>
    <w:p>
      <w:pPr>
        <w:snapToGrid w:val="0"/>
        <w:spacing w:line="500" w:lineRule="exact"/>
        <w:rPr>
          <w:rFonts w:ascii="宋体" w:hAnsi="宋体"/>
          <w:sz w:val="24"/>
          <w:highlight w:val="none"/>
        </w:rPr>
      </w:pPr>
      <w:r>
        <w:rPr>
          <w:rFonts w:hint="eastAsia" w:ascii="宋体" w:hAnsi="宋体"/>
          <w:sz w:val="24"/>
          <w:highlight w:val="none"/>
        </w:rPr>
        <w:t xml:space="preserve">    十、资产的处理：指根据不同的标的具体约定，对土地使用权、房屋建筑、设备、车辆、技术项目、商标权、专利权等实际标的物的处理。</w:t>
      </w:r>
    </w:p>
    <w:p>
      <w:pPr>
        <w:snapToGrid w:val="0"/>
        <w:spacing w:line="500" w:lineRule="exact"/>
        <w:rPr>
          <w:rFonts w:ascii="宋体" w:hAnsi="宋体"/>
          <w:sz w:val="24"/>
          <w:highlight w:val="none"/>
        </w:rPr>
      </w:pPr>
      <w:r>
        <w:rPr>
          <w:rFonts w:hint="eastAsia" w:ascii="宋体" w:hAnsi="宋体"/>
          <w:sz w:val="24"/>
          <w:highlight w:val="none"/>
        </w:rPr>
        <w:t xml:space="preserve">    十一、产权交易的基准日：指产权转让标的价值体现的特定时点。</w:t>
      </w:r>
    </w:p>
    <w:p>
      <w:pPr>
        <w:snapToGrid w:val="0"/>
        <w:spacing w:line="500" w:lineRule="exact"/>
        <w:rPr>
          <w:rFonts w:ascii="宋体" w:hAnsi="宋体"/>
          <w:sz w:val="24"/>
          <w:highlight w:val="none"/>
        </w:rPr>
      </w:pPr>
      <w:r>
        <w:rPr>
          <w:rFonts w:hint="eastAsia" w:ascii="宋体" w:hAnsi="宋体"/>
          <w:sz w:val="24"/>
          <w:highlight w:val="none"/>
        </w:rPr>
        <w:t xml:space="preserve">    十二、违约责任：当事人既约定违约金又约定定金的，一方违约时，对方可以选择适用违约金或定金条款。</w:t>
      </w:r>
    </w:p>
    <w:p>
      <w:pPr>
        <w:snapToGrid w:val="0"/>
        <w:spacing w:line="500" w:lineRule="exact"/>
        <w:rPr>
          <w:rFonts w:ascii="宋体" w:hAnsi="宋体"/>
          <w:sz w:val="24"/>
          <w:highlight w:val="none"/>
        </w:rPr>
      </w:pPr>
      <w:r>
        <w:rPr>
          <w:rFonts w:hint="eastAsia" w:ascii="宋体" w:hAnsi="宋体"/>
          <w:sz w:val="24"/>
          <w:highlight w:val="none"/>
        </w:rPr>
        <w:t xml:space="preserve">    十三、争议的解决方式，除协商和调解方式外，合同当事人还可以选择仲裁或诉讼方式，但选择了仲裁方式就不能再约定其他方式。    </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spacing w:line="500" w:lineRule="exact"/>
        <w:jc w:val="center"/>
        <w:rPr>
          <w:rFonts w:ascii="仿宋_GB2312" w:eastAsia="仿宋_GB2312"/>
          <w:sz w:val="28"/>
          <w:szCs w:val="28"/>
          <w:highlight w:val="none"/>
        </w:rPr>
      </w:pPr>
      <w:r>
        <w:rPr>
          <w:rFonts w:hint="eastAsia" w:ascii="宋体" w:hAnsi="宋体"/>
          <w:b/>
          <w:sz w:val="32"/>
          <w:szCs w:val="32"/>
          <w:highlight w:val="none"/>
        </w:rPr>
        <w:t>本合同涉及的各方当事人</w:t>
      </w:r>
    </w:p>
    <w:p>
      <w:pPr>
        <w:spacing w:line="500" w:lineRule="exact"/>
        <w:rPr>
          <w:rFonts w:ascii="仿宋_GB2312" w:eastAsia="仿宋_GB2312"/>
          <w:sz w:val="28"/>
          <w:szCs w:val="28"/>
          <w:highlight w:val="none"/>
        </w:rPr>
      </w:pPr>
    </w:p>
    <w:p>
      <w:pPr>
        <w:spacing w:line="500" w:lineRule="exact"/>
        <w:rPr>
          <w:rFonts w:ascii="仿宋_GB2312" w:eastAsia="仿宋_GB2312"/>
          <w:b/>
          <w:color w:val="auto"/>
          <w:sz w:val="28"/>
          <w:szCs w:val="28"/>
          <w:highlight w:val="none"/>
          <w:u w:val="none"/>
        </w:rPr>
      </w:pPr>
      <w:r>
        <w:rPr>
          <w:rFonts w:hint="eastAsia" w:ascii="仿宋_GB2312" w:eastAsia="仿宋_GB2312"/>
          <w:b/>
          <w:color w:val="auto"/>
          <w:sz w:val="28"/>
          <w:szCs w:val="28"/>
          <w:highlight w:val="none"/>
        </w:rPr>
        <w:t>转让方（以下简称甲方）：</w:t>
      </w:r>
      <w:r>
        <w:rPr>
          <w:rFonts w:hint="eastAsia" w:ascii="仿宋_GB2312" w:eastAsia="仿宋_GB2312"/>
          <w:b/>
          <w:color w:val="auto"/>
          <w:sz w:val="28"/>
          <w:szCs w:val="28"/>
          <w:highlight w:val="none"/>
          <w:lang w:val="en-US" w:eastAsia="zh-CN"/>
        </w:rPr>
        <w:t xml:space="preserve">               </w:t>
      </w:r>
      <w:r>
        <w:rPr>
          <w:rFonts w:hint="eastAsia" w:ascii="仿宋_GB2312" w:eastAsia="仿宋_GB2312"/>
          <w:b/>
          <w:color w:val="auto"/>
          <w:sz w:val="28"/>
          <w:szCs w:val="28"/>
          <w:highlight w:val="none"/>
          <w:u w:val="none"/>
        </w:rPr>
        <w:t xml:space="preserve">  </w:t>
      </w:r>
      <w:r>
        <w:rPr>
          <w:rFonts w:hint="eastAsia" w:ascii="仿宋_GB2312" w:eastAsia="仿宋_GB2312"/>
          <w:b/>
          <w:color w:val="auto"/>
          <w:sz w:val="28"/>
          <w:szCs w:val="28"/>
          <w:highlight w:val="none"/>
          <w:u w:val="none"/>
          <w:lang w:val="en-US" w:eastAsia="zh-CN"/>
        </w:rPr>
        <w:t xml:space="preserve">                   </w:t>
      </w:r>
      <w:r>
        <w:rPr>
          <w:rFonts w:hint="eastAsia" w:ascii="仿宋_GB2312" w:eastAsia="仿宋_GB2312"/>
          <w:b/>
          <w:color w:val="auto"/>
          <w:sz w:val="28"/>
          <w:szCs w:val="28"/>
          <w:highlight w:val="none"/>
          <w:u w:val="single"/>
          <w:lang w:val="en-US" w:eastAsia="zh-CN"/>
        </w:rPr>
        <w:t xml:space="preserve">    </w:t>
      </w:r>
    </w:p>
    <w:p>
      <w:pPr>
        <w:snapToGrid w:val="0"/>
        <w:spacing w:line="5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住 所： </w:t>
      </w:r>
    </w:p>
    <w:p>
      <w:pPr>
        <w:snapToGrid w:val="0"/>
        <w:spacing w:line="500" w:lineRule="exact"/>
        <w:rPr>
          <w:rFonts w:hint="default" w:ascii="仿宋_GB2312" w:eastAsia="仿宋_GB2312"/>
          <w:color w:val="auto"/>
          <w:sz w:val="28"/>
          <w:szCs w:val="28"/>
          <w:highlight w:val="none"/>
          <w:u w:val="single"/>
          <w:lang w:val="en-US" w:eastAsia="zh-CN"/>
        </w:rPr>
      </w:pPr>
      <w:r>
        <w:rPr>
          <w:rFonts w:hint="eastAsia" w:ascii="仿宋_GB2312" w:eastAsia="仿宋_GB2312"/>
          <w:color w:val="auto"/>
          <w:sz w:val="28"/>
          <w:szCs w:val="28"/>
          <w:highlight w:val="none"/>
        </w:rPr>
        <w:t>电 话：</w:t>
      </w:r>
    </w:p>
    <w:p>
      <w:pPr>
        <w:snapToGrid w:val="0"/>
        <w:spacing w:line="5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 xml:space="preserve">        职务：    </w:t>
      </w:r>
    </w:p>
    <w:p>
      <w:pPr>
        <w:snapToGrid w:val="0"/>
        <w:spacing w:line="5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企业类型：</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 xml:space="preserve">邮编：      </w:t>
      </w:r>
    </w:p>
    <w:p>
      <w:pPr>
        <w:snapToGrid w:val="0"/>
        <w:spacing w:line="5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注册资本：</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 xml:space="preserve"> </w:t>
      </w:r>
    </w:p>
    <w:p>
      <w:pPr>
        <w:snapToGrid w:val="0"/>
        <w:spacing w:line="5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开户银行：   </w:t>
      </w:r>
    </w:p>
    <w:p>
      <w:pPr>
        <w:snapToGrid w:val="0"/>
        <w:spacing w:line="500" w:lineRule="exact"/>
        <w:rPr>
          <w:rFonts w:ascii="仿宋_GB2312" w:eastAsia="仿宋_GB2312"/>
          <w:color w:val="auto"/>
          <w:sz w:val="28"/>
          <w:szCs w:val="28"/>
          <w:highlight w:val="none"/>
        </w:rPr>
      </w:pPr>
      <w:r>
        <w:rPr>
          <w:rFonts w:hint="eastAsia" w:ascii="仿宋_GB2312" w:eastAsia="仿宋_GB2312"/>
          <w:b w:val="0"/>
          <w:bCs/>
          <w:color w:val="auto"/>
          <w:sz w:val="28"/>
          <w:szCs w:val="28"/>
          <w:highlight w:val="none"/>
        </w:rPr>
        <w:t>开户账号：</w:t>
      </w:r>
      <w:r>
        <w:rPr>
          <w:rFonts w:hint="eastAsia" w:ascii="仿宋_GB2312" w:eastAsia="仿宋_GB2312"/>
          <w:b/>
          <w:color w:val="auto"/>
          <w:sz w:val="28"/>
          <w:szCs w:val="28"/>
          <w:highlight w:val="none"/>
        </w:rPr>
        <w:t xml:space="preserve">   </w:t>
      </w:r>
      <w:r>
        <w:rPr>
          <w:rFonts w:ascii="仿宋_GB2312" w:eastAsia="仿宋_GB2312"/>
          <w:color w:val="auto"/>
          <w:sz w:val="28"/>
          <w:szCs w:val="28"/>
          <w:highlight w:val="none"/>
        </w:rPr>
        <w:t xml:space="preserve"> </w:t>
      </w:r>
    </w:p>
    <w:p>
      <w:pPr>
        <w:snapToGrid w:val="0"/>
        <w:spacing w:line="500" w:lineRule="exact"/>
        <w:rPr>
          <w:rFonts w:ascii="仿宋_GB2312" w:eastAsia="仿宋_GB2312"/>
          <w:b/>
          <w:color w:val="auto"/>
          <w:sz w:val="28"/>
          <w:szCs w:val="28"/>
          <w:highlight w:val="none"/>
        </w:rPr>
      </w:pPr>
    </w:p>
    <w:p>
      <w:pPr>
        <w:snapToGrid w:val="0"/>
        <w:spacing w:line="500" w:lineRule="exact"/>
        <w:rPr>
          <w:rFonts w:ascii="仿宋_GB2312" w:eastAsia="仿宋_GB2312"/>
          <w:b/>
          <w:color w:val="auto"/>
          <w:sz w:val="28"/>
          <w:szCs w:val="28"/>
          <w:highlight w:val="none"/>
        </w:rPr>
      </w:pPr>
    </w:p>
    <w:p>
      <w:pPr>
        <w:snapToGrid w:val="0"/>
        <w:spacing w:line="500" w:lineRule="exact"/>
        <w:rPr>
          <w:rFonts w:hint="eastAsia" w:ascii="仿宋_GB2312" w:eastAsia="仿宋_GB2312"/>
          <w:b/>
          <w:color w:val="auto"/>
          <w:sz w:val="28"/>
          <w:szCs w:val="28"/>
          <w:highlight w:val="none"/>
        </w:rPr>
      </w:pPr>
      <w:r>
        <w:rPr>
          <w:rFonts w:hint="eastAsia" w:ascii="仿宋_GB2312" w:eastAsia="仿宋_GB2312"/>
          <w:b/>
          <w:color w:val="auto"/>
          <w:sz w:val="28"/>
          <w:szCs w:val="28"/>
          <w:highlight w:val="none"/>
        </w:rPr>
        <w:t>受让方（以下简称乙方）：</w:t>
      </w:r>
    </w:p>
    <w:p>
      <w:pPr>
        <w:snapToGrid w:val="0"/>
        <w:spacing w:line="5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住 所： </w:t>
      </w:r>
      <w:r>
        <w:rPr>
          <w:rFonts w:hint="eastAsia" w:ascii="仿宋_GB2312" w:eastAsia="仿宋_GB2312"/>
          <w:color w:val="auto"/>
          <w:sz w:val="24"/>
          <w:szCs w:val="24"/>
          <w:highlight w:val="none"/>
        </w:rPr>
        <w:t xml:space="preserve">  </w:t>
      </w:r>
      <w:r>
        <w:rPr>
          <w:rFonts w:hint="eastAsia" w:ascii="仿宋_GB2312" w:eastAsia="仿宋_GB2312"/>
          <w:color w:val="auto"/>
          <w:sz w:val="28"/>
          <w:szCs w:val="28"/>
          <w:highlight w:val="none"/>
        </w:rPr>
        <w:t xml:space="preserve">                   </w:t>
      </w:r>
    </w:p>
    <w:p>
      <w:pPr>
        <w:snapToGrid w:val="0"/>
        <w:spacing w:line="5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电话：</w:t>
      </w:r>
    </w:p>
    <w:p>
      <w:pPr>
        <w:snapToGrid w:val="0"/>
        <w:spacing w:line="500" w:lineRule="exac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法定代表人：</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 xml:space="preserve">        职务：</w:t>
      </w:r>
    </w:p>
    <w:p>
      <w:pPr>
        <w:snapToGrid w:val="0"/>
        <w:spacing w:line="5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企业类型：</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 xml:space="preserve"> 邮编：</w:t>
      </w:r>
    </w:p>
    <w:p>
      <w:pPr>
        <w:snapToGrid w:val="0"/>
        <w:spacing w:line="500" w:lineRule="exact"/>
        <w:ind w:left="5600" w:hanging="5600" w:hangingChars="20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注册资本：</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p>
    <w:p>
      <w:pPr>
        <w:snapToGrid w:val="0"/>
        <w:spacing w:line="500" w:lineRule="exact"/>
        <w:ind w:left="5600" w:hanging="5600" w:hangingChars="200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开户银行</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 xml:space="preserve"> </w:t>
      </w:r>
    </w:p>
    <w:p>
      <w:pPr>
        <w:snapToGrid w:val="0"/>
        <w:spacing w:line="500" w:lineRule="exact"/>
        <w:ind w:left="5600" w:hanging="5600" w:hangingChars="2000"/>
        <w:rPr>
          <w:rFonts w:hint="default" w:ascii="仿宋_GB2312" w:eastAsia="仿宋_GB2312"/>
          <w:color w:val="auto"/>
          <w:sz w:val="24"/>
          <w:szCs w:val="24"/>
          <w:highlight w:val="none"/>
          <w:lang w:val="en-US"/>
        </w:rPr>
      </w:pPr>
      <w:r>
        <w:rPr>
          <w:rFonts w:hint="eastAsia" w:ascii="仿宋_GB2312" w:eastAsia="仿宋_GB2312"/>
          <w:b w:val="0"/>
          <w:bCs/>
          <w:color w:val="auto"/>
          <w:sz w:val="28"/>
          <w:szCs w:val="28"/>
          <w:highlight w:val="none"/>
        </w:rPr>
        <w:t>开户</w:t>
      </w:r>
      <w:r>
        <w:rPr>
          <w:rFonts w:hint="eastAsia" w:ascii="仿宋_GB2312" w:eastAsia="仿宋_GB2312"/>
          <w:color w:val="auto"/>
          <w:sz w:val="28"/>
          <w:szCs w:val="28"/>
          <w:highlight w:val="none"/>
          <w:lang w:eastAsia="zh-CN"/>
        </w:rPr>
        <w:t>账</w:t>
      </w:r>
      <w:r>
        <w:rPr>
          <w:rFonts w:hint="eastAsia" w:ascii="仿宋_GB2312" w:eastAsia="仿宋_GB2312"/>
          <w:color w:val="auto"/>
          <w:sz w:val="28"/>
          <w:szCs w:val="28"/>
          <w:highlight w:val="none"/>
        </w:rPr>
        <w:t>号：</w:t>
      </w:r>
      <w:r>
        <w:rPr>
          <w:rFonts w:hint="eastAsia" w:ascii="仿宋_GB2312" w:eastAsia="仿宋_GB2312"/>
          <w:color w:val="auto"/>
          <w:sz w:val="28"/>
          <w:szCs w:val="28"/>
          <w:highlight w:val="none"/>
          <w:lang w:val="en-US" w:eastAsia="zh-CN"/>
        </w:rPr>
        <w:t xml:space="preserve"> </w:t>
      </w:r>
    </w:p>
    <w:p>
      <w:pPr>
        <w:snapToGrid w:val="0"/>
        <w:spacing w:line="500" w:lineRule="exact"/>
        <w:ind w:firstLine="560" w:firstLineChars="200"/>
        <w:rPr>
          <w:rFonts w:hint="eastAsia" w:ascii="仿宋_GB2312" w:eastAsia="仿宋_GB2312"/>
          <w:sz w:val="28"/>
          <w:szCs w:val="28"/>
          <w:highlight w:val="none"/>
        </w:rPr>
      </w:pPr>
    </w:p>
    <w:p>
      <w:p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eastAsia="仿宋_GB2312"/>
          <w:sz w:val="28"/>
          <w:szCs w:val="28"/>
          <w:highlight w:val="none"/>
        </w:rPr>
        <w:t>根据《中华人民共和国民法典》、</w:t>
      </w:r>
      <w:r>
        <w:rPr>
          <w:rFonts w:hint="eastAsia" w:ascii="仿宋_GB2312" w:eastAsia="仿宋_GB2312"/>
          <w:sz w:val="28"/>
          <w:szCs w:val="28"/>
          <w:highlight w:val="none"/>
          <w:lang w:val="en-US" w:eastAsia="zh-CN"/>
        </w:rPr>
        <w:t>福建省国资委</w:t>
      </w:r>
      <w:r>
        <w:rPr>
          <w:rFonts w:hint="eastAsia" w:ascii="仿宋_GB2312" w:eastAsia="仿宋_GB2312"/>
          <w:sz w:val="28"/>
          <w:szCs w:val="28"/>
          <w:highlight w:val="none"/>
        </w:rPr>
        <w:t>《所出资企业国有资产交易监督管理办法》等有关规定，甲、乙双方遵循自愿、公平、诚实信用的原则订立本合同，以资共同遵守。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转让标的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1.1</w:t>
      </w:r>
      <w:r>
        <w:rPr>
          <w:rFonts w:hint="eastAsia" w:ascii="仿宋_GB2312" w:hAnsi="仿宋_GB2312" w:eastAsia="仿宋_GB2312" w:cs="仿宋_GB2312"/>
          <w:spacing w:val="0"/>
          <w:kern w:val="2"/>
          <w:sz w:val="28"/>
          <w:szCs w:val="28"/>
          <w:lang w:eastAsia="zh-CN"/>
        </w:rPr>
        <w:t>原吾祠煤矿+800</w:t>
      </w:r>
      <w:r>
        <w:rPr>
          <w:rFonts w:hint="eastAsia" w:ascii="仿宋_GB2312" w:hAnsi="仿宋_GB2312" w:eastAsia="仿宋_GB2312" w:cs="仿宋_GB2312"/>
          <w:spacing w:val="0"/>
          <w:kern w:val="2"/>
          <w:sz w:val="28"/>
          <w:szCs w:val="28"/>
        </w:rPr>
        <w:t>风井边上的吾祠变电所35KV间隔点资产在其剩余</w:t>
      </w:r>
      <w:r>
        <w:rPr>
          <w:rFonts w:hint="eastAsia" w:ascii="仿宋_GB2312" w:hAnsi="Calibri" w:eastAsia="仿宋_GB2312" w:cs="Times New Roman"/>
          <w:spacing w:val="0"/>
          <w:kern w:val="2"/>
          <w:sz w:val="28"/>
          <w:szCs w:val="28"/>
          <w:highlight w:val="none"/>
        </w:rPr>
        <w:t>经济寿命年限内的使用权</w:t>
      </w:r>
      <w:r>
        <w:rPr>
          <w:rFonts w:hint="eastAsia" w:ascii="仿宋_GB2312" w:hAnsi="Calibri" w:eastAsia="仿宋_GB2312" w:cs="Times New Roman"/>
          <w:spacing w:val="0"/>
          <w:kern w:val="2"/>
          <w:sz w:val="28"/>
          <w:szCs w:val="28"/>
          <w:highlight w:val="none"/>
          <w:lang w:val="en-US" w:eastAsia="zh-CN"/>
        </w:rPr>
        <w:t>和原</w:t>
      </w:r>
      <w:r>
        <w:rPr>
          <w:rFonts w:hint="eastAsia" w:ascii="仿宋_GB2312" w:hAnsi="Calibri" w:eastAsia="仿宋_GB2312" w:cs="Times New Roman"/>
          <w:spacing w:val="0"/>
          <w:kern w:val="2"/>
          <w:sz w:val="28"/>
          <w:szCs w:val="28"/>
          <w:highlight w:val="none"/>
        </w:rPr>
        <w:t>吾祠煤矿35KV供电项目线路工程</w:t>
      </w:r>
      <w:r>
        <w:rPr>
          <w:rFonts w:hint="eastAsia" w:ascii="仿宋_GB2312" w:hAnsi="Calibri" w:eastAsia="仿宋_GB2312" w:cs="Times New Roman"/>
          <w:spacing w:val="0"/>
          <w:kern w:val="2"/>
          <w:sz w:val="28"/>
          <w:szCs w:val="28"/>
          <w:highlight w:val="none"/>
          <w:lang w:val="en-US" w:eastAsia="zh-CN"/>
        </w:rPr>
        <w:t>所有权</w:t>
      </w:r>
      <w:r>
        <w:rPr>
          <w:rFonts w:hint="eastAsia" w:ascii="仿宋_GB2312" w:hAnsi="Calibri" w:eastAsia="仿宋_GB2312" w:cs="Times New Roman"/>
          <w:spacing w:val="0"/>
          <w:kern w:val="2"/>
          <w:sz w:val="28"/>
          <w:szCs w:val="28"/>
          <w:highlight w:val="none"/>
        </w:rPr>
        <w:t>，</w:t>
      </w:r>
      <w:r>
        <w:rPr>
          <w:rFonts w:hint="eastAsia" w:ascii="仿宋_GB2312" w:hAnsi="仿宋_GB2312" w:eastAsia="仿宋_GB2312" w:cs="仿宋_GB2312"/>
          <w:sz w:val="28"/>
          <w:szCs w:val="28"/>
        </w:rPr>
        <w:t>转让标的详见附件</w:t>
      </w:r>
      <w:r>
        <w:rPr>
          <w:rFonts w:hint="eastAsia" w:ascii="仿宋_GB2312" w:hAnsi="仿宋_GB2312" w:eastAsia="仿宋_GB2312" w:cs="仿宋_GB2312"/>
          <w:sz w:val="28"/>
          <w:szCs w:val="28"/>
          <w:lang w:eastAsia="zh-CN"/>
        </w:rPr>
        <w:t>《福煤（漳平）煤业有限公司原吾祠煤矿+800风井边上的吾祠变电所35KV间隔</w:t>
      </w:r>
      <w:r>
        <w:rPr>
          <w:rFonts w:hint="eastAsia" w:ascii="仿宋_GB2312" w:hAnsi="仿宋_GB2312" w:eastAsia="仿宋_GB2312" w:cs="仿宋_GB2312"/>
          <w:sz w:val="28"/>
          <w:szCs w:val="28"/>
          <w:lang w:val="en-US" w:eastAsia="zh-CN"/>
        </w:rPr>
        <w:t>点</w:t>
      </w:r>
      <w:r>
        <w:rPr>
          <w:rFonts w:hint="eastAsia" w:ascii="仿宋_GB2312" w:hAnsi="仿宋_GB2312" w:eastAsia="仿宋_GB2312" w:cs="仿宋_GB2312"/>
          <w:sz w:val="28"/>
          <w:szCs w:val="28"/>
          <w:lang w:eastAsia="zh-CN"/>
        </w:rPr>
        <w:t>及</w:t>
      </w:r>
      <w:r>
        <w:rPr>
          <w:rFonts w:hint="eastAsia" w:ascii="仿宋_GB2312" w:hAnsi="仿宋_GB2312" w:eastAsia="仿宋_GB2312" w:cs="仿宋_GB2312"/>
          <w:sz w:val="28"/>
          <w:szCs w:val="28"/>
          <w:lang w:val="en-US" w:eastAsia="zh-CN"/>
        </w:rPr>
        <w:t>供电项目线路工程资产</w:t>
      </w:r>
      <w:r>
        <w:rPr>
          <w:rFonts w:hint="eastAsia" w:ascii="仿宋_GB2312" w:hAnsi="仿宋_GB2312" w:eastAsia="仿宋_GB2312" w:cs="仿宋_GB2312"/>
          <w:sz w:val="28"/>
          <w:szCs w:val="28"/>
          <w:lang w:eastAsia="zh-CN"/>
        </w:rPr>
        <w:t>明细表》</w:t>
      </w:r>
      <w:r>
        <w:rPr>
          <w:rFonts w:hint="eastAsia" w:ascii="仿宋_GB2312" w:hAnsi="仿宋_GB2312" w:eastAsia="仿宋_GB2312" w:cs="仿宋_GB2312"/>
          <w:sz w:val="28"/>
          <w:szCs w:val="28"/>
        </w:rPr>
        <w:t>。</w:t>
      </w:r>
    </w:p>
    <w:p>
      <w:pPr>
        <w:snapToGrid w:val="0"/>
        <w:spacing w:line="500" w:lineRule="exact"/>
        <w:ind w:firstLine="562" w:firstLineChars="200"/>
        <w:rPr>
          <w:rFonts w:ascii="仿宋_GB2312" w:eastAsia="仿宋_GB2312"/>
          <w:b/>
          <w:sz w:val="28"/>
          <w:szCs w:val="28"/>
          <w:highlight w:val="none"/>
        </w:rPr>
      </w:pPr>
      <w:r>
        <w:rPr>
          <w:rFonts w:hint="eastAsia" w:ascii="仿宋_GB2312" w:eastAsia="仿宋_GB2312"/>
          <w:b/>
          <w:sz w:val="28"/>
          <w:szCs w:val="28"/>
          <w:highlight w:val="none"/>
        </w:rPr>
        <w:t>第二条  转让方式</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b/>
          <w:bCs/>
          <w:sz w:val="28"/>
          <w:szCs w:val="28"/>
          <w:lang w:eastAsia="zh-CN"/>
        </w:rPr>
      </w:pPr>
      <w:r>
        <w:rPr>
          <w:rFonts w:hint="eastAsia" w:ascii="仿宋_GB2312" w:eastAsia="仿宋_GB2312"/>
          <w:sz w:val="28"/>
          <w:szCs w:val="28"/>
          <w:highlight w:val="none"/>
          <w:lang w:val="en-US" w:eastAsia="zh-CN"/>
        </w:rPr>
        <w:t>2.1</w:t>
      </w:r>
      <w:r>
        <w:rPr>
          <w:rFonts w:hint="eastAsia" w:ascii="仿宋_GB2312" w:eastAsia="仿宋_GB2312"/>
          <w:sz w:val="28"/>
          <w:szCs w:val="28"/>
          <w:highlight w:val="none"/>
        </w:rPr>
        <w:t>上述转让标的通过</w:t>
      </w:r>
      <w:r>
        <w:rPr>
          <w:rFonts w:hint="eastAsia" w:ascii="仿宋_GB2312" w:eastAsia="仿宋_GB2312"/>
          <w:sz w:val="28"/>
          <w:szCs w:val="28"/>
          <w:highlight w:val="none"/>
          <w:lang w:val="en-US" w:eastAsia="zh-CN"/>
        </w:rPr>
        <w:t>龙岩市</w:t>
      </w:r>
      <w:r>
        <w:rPr>
          <w:rFonts w:hint="eastAsia" w:ascii="仿宋_GB2312" w:eastAsia="仿宋_GB2312"/>
          <w:sz w:val="28"/>
          <w:szCs w:val="28"/>
          <w:highlight w:val="none"/>
        </w:rPr>
        <w:t>产权交易中心</w:t>
      </w:r>
      <w:r>
        <w:rPr>
          <w:rFonts w:hint="eastAsia" w:ascii="仿宋_GB2312" w:eastAsia="仿宋_GB2312"/>
          <w:sz w:val="28"/>
          <w:szCs w:val="28"/>
          <w:highlight w:val="none"/>
          <w:lang w:eastAsia="zh-CN"/>
        </w:rPr>
        <w:t>有限公司（以下简称“产权交易中心”）</w:t>
      </w:r>
      <w:r>
        <w:rPr>
          <w:rFonts w:hint="eastAsia" w:ascii="仿宋_GB2312" w:eastAsia="仿宋_GB2312"/>
          <w:sz w:val="28"/>
          <w:szCs w:val="28"/>
          <w:highlight w:val="none"/>
        </w:rPr>
        <w:t>发布转让信息征集受让方，以公开竞价的方式，确定受让方和转让价格，签订本项</w:t>
      </w:r>
      <w:r>
        <w:rPr>
          <w:rFonts w:hint="eastAsia" w:ascii="仿宋_GB2312" w:eastAsia="仿宋_GB2312"/>
          <w:sz w:val="28"/>
          <w:szCs w:val="28"/>
          <w:highlight w:val="none"/>
          <w:lang w:val="en-US" w:eastAsia="zh-CN"/>
        </w:rPr>
        <w:t>资产</w:t>
      </w:r>
      <w:r>
        <w:rPr>
          <w:rFonts w:hint="eastAsia" w:ascii="仿宋_GB2312" w:eastAsia="仿宋_GB2312"/>
          <w:sz w:val="28"/>
          <w:szCs w:val="28"/>
          <w:highlight w:val="none"/>
        </w:rPr>
        <w:t>交易合同，实施</w:t>
      </w:r>
      <w:r>
        <w:rPr>
          <w:rFonts w:hint="eastAsia" w:ascii="仿宋_GB2312" w:eastAsia="仿宋_GB2312"/>
          <w:sz w:val="28"/>
          <w:szCs w:val="28"/>
          <w:highlight w:val="none"/>
          <w:lang w:val="en-US" w:eastAsia="zh-CN"/>
        </w:rPr>
        <w:t>资产</w:t>
      </w:r>
      <w:r>
        <w:rPr>
          <w:rFonts w:hint="eastAsia" w:ascii="仿宋_GB2312" w:eastAsia="仿宋_GB2312"/>
          <w:sz w:val="28"/>
          <w:szCs w:val="28"/>
          <w:highlight w:val="none"/>
        </w:rPr>
        <w:t>交易。</w:t>
      </w:r>
    </w:p>
    <w:p>
      <w:pPr>
        <w:snapToGrid w:val="0"/>
        <w:spacing w:line="500" w:lineRule="exact"/>
        <w:ind w:firstLine="562" w:firstLineChars="200"/>
        <w:rPr>
          <w:rFonts w:ascii="仿宋_GB2312" w:eastAsia="仿宋_GB2312"/>
          <w:b/>
          <w:sz w:val="28"/>
          <w:szCs w:val="28"/>
          <w:highlight w:val="none"/>
        </w:rPr>
      </w:pPr>
      <w:r>
        <w:rPr>
          <w:rFonts w:hint="eastAsia" w:ascii="仿宋_GB2312" w:eastAsia="仿宋_GB2312"/>
          <w:b/>
          <w:sz w:val="28"/>
          <w:szCs w:val="28"/>
          <w:highlight w:val="none"/>
        </w:rPr>
        <w:t>第三条  转让价款</w:t>
      </w:r>
    </w:p>
    <w:p>
      <w:pPr>
        <w:snapToGrid w:val="0"/>
        <w:spacing w:line="500" w:lineRule="exact"/>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lang w:val="en-US" w:eastAsia="zh-CN"/>
        </w:rPr>
        <w:t>3.1</w:t>
      </w:r>
      <w:r>
        <w:rPr>
          <w:rFonts w:hint="eastAsia" w:ascii="仿宋_GB2312" w:eastAsia="仿宋_GB2312"/>
          <w:color w:val="auto"/>
          <w:sz w:val="28"/>
          <w:szCs w:val="28"/>
          <w:highlight w:val="none"/>
        </w:rPr>
        <w:t>甲、乙双方确认本合同项下转让标的转让价款为人民币（小写）</w:t>
      </w:r>
      <w:r>
        <w:rPr>
          <w:rFonts w:hint="eastAsia" w:ascii="仿宋_GB2312" w:eastAsia="仿宋_GB2312"/>
          <w:color w:val="auto"/>
          <w:sz w:val="28"/>
          <w:szCs w:val="28"/>
          <w:highlight w:val="none"/>
          <w:u w:val="none"/>
        </w:rPr>
        <w:t>￥</w:t>
      </w:r>
      <w:r>
        <w:rPr>
          <w:rFonts w:hint="eastAsia" w:ascii="仿宋_GB2312" w:eastAsia="仿宋_GB2312"/>
          <w:color w:val="auto"/>
          <w:sz w:val="28"/>
          <w:szCs w:val="28"/>
          <w:highlight w:val="none"/>
          <w:u w:val="none"/>
          <w:lang w:val="en-US" w:eastAsia="zh-CN"/>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万元，即人民币</w:t>
      </w:r>
      <w:r>
        <w:rPr>
          <w:rFonts w:hint="eastAsia" w:ascii="仿宋_GB2312" w:eastAsia="仿宋_GB2312"/>
          <w:color w:val="auto"/>
          <w:sz w:val="28"/>
          <w:szCs w:val="28"/>
          <w:highlight w:val="none"/>
          <w:u w:val="none"/>
        </w:rPr>
        <w:t>（大写）</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none"/>
          <w:lang w:val="en-US" w:eastAsia="zh-CN"/>
        </w:rPr>
        <w:t>佰</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none"/>
          <w:lang w:val="en-US" w:eastAsia="zh-CN"/>
        </w:rPr>
        <w:t>拾</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none"/>
          <w:lang w:val="en-US" w:eastAsia="zh-CN"/>
        </w:rPr>
        <w:t>万</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none"/>
          <w:lang w:val="en-US" w:eastAsia="zh-CN"/>
        </w:rPr>
        <w:t>仟</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none"/>
          <w:lang w:val="en-US" w:eastAsia="zh-CN"/>
        </w:rPr>
        <w:t>佰元。</w:t>
      </w:r>
    </w:p>
    <w:p>
      <w:pPr>
        <w:snapToGrid w:val="0"/>
        <w:spacing w:line="5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3.2</w:t>
      </w:r>
      <w:r>
        <w:rPr>
          <w:rFonts w:hint="eastAsia" w:ascii="仿宋_GB2312" w:eastAsia="仿宋_GB2312"/>
          <w:color w:val="auto"/>
          <w:sz w:val="28"/>
          <w:szCs w:val="28"/>
          <w:highlight w:val="none"/>
        </w:rPr>
        <w:t>该转让价款不包含转让交易服务费。</w:t>
      </w:r>
    </w:p>
    <w:p>
      <w:pPr>
        <w:snapToGrid w:val="0"/>
        <w:spacing w:line="500" w:lineRule="exact"/>
        <w:ind w:firstLine="562" w:firstLineChars="200"/>
        <w:rPr>
          <w:rFonts w:ascii="仿宋_GB2312" w:eastAsia="仿宋_GB2312"/>
          <w:b/>
          <w:color w:val="auto"/>
          <w:sz w:val="28"/>
          <w:szCs w:val="28"/>
          <w:highlight w:val="none"/>
        </w:rPr>
      </w:pPr>
      <w:r>
        <w:rPr>
          <w:rFonts w:hint="eastAsia" w:ascii="仿宋_GB2312" w:eastAsia="仿宋_GB2312"/>
          <w:b/>
          <w:color w:val="auto"/>
          <w:sz w:val="28"/>
          <w:szCs w:val="28"/>
          <w:highlight w:val="none"/>
        </w:rPr>
        <w:t>第四条  支付方式</w:t>
      </w:r>
    </w:p>
    <w:p>
      <w:pPr>
        <w:snapToGrid w:val="0"/>
        <w:spacing w:line="5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4.1</w:t>
      </w:r>
      <w:r>
        <w:rPr>
          <w:rFonts w:hint="eastAsia" w:ascii="仿宋_GB2312" w:eastAsia="仿宋_GB2312"/>
          <w:color w:val="auto"/>
          <w:sz w:val="28"/>
          <w:szCs w:val="28"/>
          <w:highlight w:val="none"/>
        </w:rPr>
        <w:t>乙方已支付至产权交易中心的交易保证金计人民币（小写）</w:t>
      </w:r>
      <w:r>
        <w:rPr>
          <w:rFonts w:hint="eastAsia" w:ascii="仿宋_GB2312" w:eastAsia="仿宋_GB2312"/>
          <w:color w:val="auto"/>
          <w:sz w:val="28"/>
          <w:szCs w:val="28"/>
          <w:highlight w:val="none"/>
          <w:u w:val="none"/>
          <w:lang w:eastAsia="zh-CN"/>
        </w:rPr>
        <w:t>￥</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none"/>
        </w:rPr>
        <w:t>万元</w:t>
      </w:r>
      <w:r>
        <w:rPr>
          <w:rFonts w:hint="eastAsia" w:ascii="仿宋_GB2312" w:eastAsia="仿宋_GB2312"/>
          <w:color w:val="auto"/>
          <w:sz w:val="28"/>
          <w:szCs w:val="28"/>
          <w:highlight w:val="none"/>
        </w:rPr>
        <w:t>（即人民币（大写</w:t>
      </w:r>
      <w:r>
        <w:rPr>
          <w:rFonts w:hint="eastAsia" w:ascii="仿宋_GB2312" w:eastAsia="仿宋_GB2312"/>
          <w:color w:val="auto"/>
          <w:sz w:val="28"/>
          <w:szCs w:val="28"/>
          <w:highlight w:val="none"/>
          <w:u w:val="none"/>
        </w:rPr>
        <w:t>）</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none"/>
          <w:lang w:val="en-US" w:eastAsia="zh-CN"/>
        </w:rPr>
        <w:t>佰</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none"/>
          <w:lang w:val="en-US" w:eastAsia="zh-CN"/>
        </w:rPr>
        <w:t>拾</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none"/>
        </w:rPr>
        <w:t>万元</w:t>
      </w:r>
      <w:r>
        <w:rPr>
          <w:rFonts w:hint="eastAsia" w:ascii="仿宋_GB2312" w:eastAsia="仿宋_GB2312"/>
          <w:color w:val="auto"/>
          <w:sz w:val="28"/>
          <w:szCs w:val="28"/>
          <w:highlight w:val="none"/>
        </w:rPr>
        <w:t>），在本合同生效后扣除</w:t>
      </w:r>
      <w:r>
        <w:rPr>
          <w:rFonts w:hint="default" w:ascii="仿宋_GB2312" w:eastAsia="仿宋_GB2312"/>
          <w:color w:val="auto"/>
          <w:sz w:val="28"/>
          <w:szCs w:val="28"/>
          <w:highlight w:val="none"/>
        </w:rPr>
        <w:t>本项</w:t>
      </w:r>
      <w:r>
        <w:rPr>
          <w:rFonts w:hint="eastAsia" w:ascii="仿宋_GB2312" w:eastAsia="仿宋_GB2312"/>
          <w:color w:val="auto"/>
          <w:sz w:val="28"/>
          <w:szCs w:val="28"/>
          <w:highlight w:val="none"/>
        </w:rPr>
        <w:t>交易服务费直接转为本合同履约保证金。乙方在支付转让总价款时，在其没有违约的情况下，履约保证金无息抵作等额合同价款。</w:t>
      </w:r>
    </w:p>
    <w:p>
      <w:pPr>
        <w:snapToGrid w:val="0"/>
        <w:spacing w:line="5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4.2</w:t>
      </w:r>
      <w:r>
        <w:rPr>
          <w:rFonts w:ascii="仿宋_GB2312" w:eastAsia="仿宋_GB2312"/>
          <w:color w:val="auto"/>
          <w:sz w:val="28"/>
          <w:szCs w:val="28"/>
          <w:highlight w:val="none"/>
        </w:rPr>
        <w:t>甲、乙双方约定按照一次性付款方式支付价款</w:t>
      </w:r>
      <w:r>
        <w:rPr>
          <w:rFonts w:hint="eastAsia" w:ascii="仿宋_GB2312" w:eastAsia="仿宋_GB2312"/>
          <w:color w:val="auto"/>
          <w:sz w:val="28"/>
          <w:szCs w:val="28"/>
          <w:highlight w:val="none"/>
        </w:rPr>
        <w:t>，</w:t>
      </w:r>
      <w:r>
        <w:rPr>
          <w:rFonts w:ascii="仿宋_GB2312" w:eastAsia="仿宋_GB2312"/>
          <w:color w:val="auto"/>
          <w:sz w:val="28"/>
          <w:szCs w:val="28"/>
          <w:highlight w:val="none"/>
        </w:rPr>
        <w:t>除4.1款中</w:t>
      </w:r>
      <w:r>
        <w:rPr>
          <w:rFonts w:hint="eastAsia" w:ascii="仿宋_GB2312" w:eastAsia="仿宋_GB2312"/>
          <w:color w:val="auto"/>
          <w:sz w:val="28"/>
          <w:szCs w:val="28"/>
          <w:highlight w:val="none"/>
        </w:rPr>
        <w:t>履约</w:t>
      </w:r>
      <w:r>
        <w:rPr>
          <w:rFonts w:ascii="仿宋_GB2312" w:eastAsia="仿宋_GB2312"/>
          <w:color w:val="auto"/>
          <w:sz w:val="28"/>
          <w:szCs w:val="28"/>
          <w:highlight w:val="none"/>
        </w:rPr>
        <w:t>保证金转为本次</w:t>
      </w:r>
      <w:r>
        <w:rPr>
          <w:rFonts w:hint="eastAsia" w:ascii="仿宋_GB2312" w:eastAsia="仿宋_GB2312"/>
          <w:color w:val="auto"/>
          <w:sz w:val="28"/>
          <w:szCs w:val="28"/>
          <w:highlight w:val="none"/>
          <w:lang w:eastAsia="zh-CN"/>
        </w:rPr>
        <w:t>股</w:t>
      </w:r>
      <w:r>
        <w:rPr>
          <w:rFonts w:ascii="仿宋_GB2312" w:eastAsia="仿宋_GB2312"/>
          <w:color w:val="auto"/>
          <w:sz w:val="28"/>
          <w:szCs w:val="28"/>
          <w:highlight w:val="none"/>
        </w:rPr>
        <w:t>权交易部分价款外，乙方应在本合同生效</w:t>
      </w:r>
      <w:r>
        <w:rPr>
          <w:rFonts w:hint="eastAsia" w:ascii="仿宋_GB2312" w:eastAsia="仿宋_GB2312"/>
          <w:color w:val="auto"/>
          <w:sz w:val="28"/>
          <w:szCs w:val="28"/>
          <w:highlight w:val="none"/>
        </w:rPr>
        <w:t>之</w:t>
      </w:r>
      <w:r>
        <w:rPr>
          <w:rFonts w:ascii="仿宋_GB2312" w:eastAsia="仿宋_GB2312"/>
          <w:color w:val="auto"/>
          <w:sz w:val="28"/>
          <w:szCs w:val="28"/>
          <w:highlight w:val="none"/>
        </w:rPr>
        <w:t>日起</w:t>
      </w:r>
      <w:r>
        <w:rPr>
          <w:rFonts w:hint="eastAsia" w:ascii="仿宋_GB2312" w:eastAsia="仿宋_GB2312"/>
          <w:color w:val="auto"/>
          <w:sz w:val="28"/>
          <w:szCs w:val="28"/>
          <w:highlight w:val="none"/>
          <w:u w:val="single"/>
        </w:rPr>
        <w:t>5</w:t>
      </w:r>
      <w:r>
        <w:rPr>
          <w:rFonts w:ascii="仿宋_GB2312" w:eastAsia="仿宋_GB2312"/>
          <w:color w:val="auto"/>
          <w:sz w:val="28"/>
          <w:szCs w:val="28"/>
          <w:highlight w:val="none"/>
        </w:rPr>
        <w:t>个工作日内，将其余的</w:t>
      </w:r>
      <w:r>
        <w:rPr>
          <w:rFonts w:hint="eastAsia" w:ascii="仿宋_GB2312" w:eastAsia="仿宋_GB2312"/>
          <w:color w:val="auto"/>
          <w:sz w:val="28"/>
          <w:szCs w:val="28"/>
          <w:highlight w:val="none"/>
          <w:lang w:val="en-US" w:eastAsia="zh-CN"/>
        </w:rPr>
        <w:t>资产</w:t>
      </w:r>
      <w:r>
        <w:rPr>
          <w:rFonts w:ascii="仿宋_GB2312" w:eastAsia="仿宋_GB2312"/>
          <w:color w:val="auto"/>
          <w:sz w:val="28"/>
          <w:szCs w:val="28"/>
          <w:highlight w:val="none"/>
        </w:rPr>
        <w:t>交易价款人民币（小写）</w:t>
      </w:r>
      <w:r>
        <w:rPr>
          <w:rFonts w:hint="eastAsia" w:ascii="仿宋_GB2312" w:eastAsia="仿宋_GB2312"/>
          <w:color w:val="auto"/>
          <w:sz w:val="28"/>
          <w:szCs w:val="28"/>
          <w:highlight w:val="none"/>
          <w:u w:val="single"/>
          <w:lang w:val="en-US" w:eastAsia="zh-CN"/>
        </w:rPr>
        <w:t xml:space="preserve">     </w:t>
      </w:r>
      <w:r>
        <w:rPr>
          <w:rFonts w:ascii="仿宋_GB2312" w:eastAsia="仿宋_GB2312"/>
          <w:color w:val="auto"/>
          <w:sz w:val="28"/>
          <w:szCs w:val="28"/>
          <w:highlight w:val="none"/>
        </w:rPr>
        <w:t>万元【即人民币（大写）</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none"/>
          <w:lang w:val="en-US" w:eastAsia="zh-CN"/>
        </w:rPr>
        <w:t>佰</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none"/>
          <w:lang w:val="en-US" w:eastAsia="zh-CN"/>
        </w:rPr>
        <w:t>拾</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none"/>
          <w:lang w:val="en-US" w:eastAsia="zh-CN"/>
        </w:rPr>
        <w:t>万</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none"/>
          <w:lang w:val="en-US" w:eastAsia="zh-CN"/>
        </w:rPr>
        <w:t>仟</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none"/>
          <w:lang w:val="en-US" w:eastAsia="zh-CN"/>
        </w:rPr>
        <w:t>佰元</w:t>
      </w:r>
      <w:r>
        <w:rPr>
          <w:rFonts w:ascii="仿宋_GB2312" w:eastAsia="仿宋_GB2312"/>
          <w:color w:val="auto"/>
          <w:sz w:val="28"/>
          <w:szCs w:val="28"/>
          <w:highlight w:val="none"/>
        </w:rPr>
        <w:t>】一次性支付至产权交易</w:t>
      </w:r>
      <w:r>
        <w:rPr>
          <w:rFonts w:hint="eastAsia" w:ascii="仿宋_GB2312" w:eastAsia="仿宋_GB2312"/>
          <w:color w:val="auto"/>
          <w:sz w:val="28"/>
          <w:szCs w:val="28"/>
          <w:highlight w:val="none"/>
          <w:lang w:eastAsia="zh-CN"/>
        </w:rPr>
        <w:t>中心</w:t>
      </w:r>
      <w:r>
        <w:rPr>
          <w:rFonts w:ascii="仿宋_GB2312" w:eastAsia="仿宋_GB2312"/>
          <w:color w:val="auto"/>
          <w:sz w:val="28"/>
          <w:szCs w:val="28"/>
          <w:highlight w:val="none"/>
        </w:rPr>
        <w:t>指定银行账户</w:t>
      </w:r>
      <w:r>
        <w:rPr>
          <w:rFonts w:hint="eastAsia" w:ascii="仿宋_GB2312" w:eastAsia="仿宋_GB2312"/>
          <w:color w:val="auto"/>
          <w:sz w:val="28"/>
          <w:szCs w:val="28"/>
          <w:highlight w:val="none"/>
        </w:rPr>
        <w:t>（开户名称：</w:t>
      </w:r>
      <w:r>
        <w:rPr>
          <w:rFonts w:hint="eastAsia" w:ascii="仿宋_GB2312" w:eastAsia="仿宋_GB2312"/>
          <w:color w:val="auto"/>
          <w:sz w:val="28"/>
          <w:szCs w:val="28"/>
          <w:highlight w:val="none"/>
          <w:lang w:val="en-US" w:eastAsia="zh-CN"/>
        </w:rPr>
        <w:t>龙岩市</w:t>
      </w:r>
      <w:r>
        <w:rPr>
          <w:rFonts w:hint="eastAsia" w:ascii="仿宋_GB2312" w:eastAsia="仿宋_GB2312"/>
          <w:color w:val="auto"/>
          <w:sz w:val="28"/>
          <w:szCs w:val="28"/>
          <w:highlight w:val="none"/>
        </w:rPr>
        <w:t>产权交易中心</w:t>
      </w:r>
      <w:r>
        <w:rPr>
          <w:rFonts w:hint="eastAsia" w:ascii="仿宋_GB2312" w:eastAsia="仿宋_GB2312"/>
          <w:sz w:val="28"/>
          <w:szCs w:val="28"/>
          <w:highlight w:val="none"/>
          <w:lang w:eastAsia="zh-CN"/>
        </w:rPr>
        <w:t>有限公司</w:t>
      </w:r>
      <w:r>
        <w:rPr>
          <w:rFonts w:hint="eastAsia" w:ascii="仿宋_GB2312" w:eastAsia="仿宋_GB2312"/>
          <w:color w:val="auto"/>
          <w:sz w:val="28"/>
          <w:szCs w:val="28"/>
          <w:highlight w:val="none"/>
        </w:rPr>
        <w:t>；开户银行</w:t>
      </w:r>
      <w:r>
        <w:rPr>
          <w:rFonts w:hint="eastAsia" w:ascii="仿宋_GB2312" w:eastAsia="仿宋_GB2312"/>
          <w:color w:val="auto"/>
          <w:sz w:val="28"/>
          <w:szCs w:val="28"/>
          <w:highlight w:val="none"/>
          <w:u w:val="none"/>
          <w:lang w:eastAsia="zh-CN"/>
        </w:rPr>
        <w:t>：</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rPr>
        <w:t>；开户账号</w:t>
      </w:r>
      <w:r>
        <w:rPr>
          <w:rFonts w:hint="eastAsia" w:ascii="仿宋_GB2312" w:eastAsia="仿宋_GB2312"/>
          <w:color w:val="auto"/>
          <w:sz w:val="28"/>
          <w:szCs w:val="28"/>
          <w:highlight w:val="none"/>
          <w:u w:val="single"/>
        </w:rPr>
        <w:t>：</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none"/>
          <w:lang w:val="en-US" w:eastAsia="zh-CN"/>
        </w:rPr>
        <w:t>。</w:t>
      </w:r>
      <w:r>
        <w:rPr>
          <w:rFonts w:hint="eastAsia" w:ascii="仿宋_GB2312" w:eastAsia="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权利</w:t>
      </w:r>
      <w:r>
        <w:rPr>
          <w:rFonts w:hint="eastAsia" w:ascii="仿宋_GB2312" w:hAnsi="仿宋_GB2312" w:eastAsia="仿宋_GB2312" w:cs="仿宋_GB2312"/>
          <w:b/>
          <w:bCs/>
          <w:sz w:val="28"/>
          <w:szCs w:val="28"/>
          <w:lang w:val="en-US" w:eastAsia="zh-CN"/>
        </w:rPr>
        <w:t>与</w:t>
      </w:r>
      <w:r>
        <w:rPr>
          <w:rFonts w:hint="eastAsia" w:ascii="仿宋_GB2312" w:hAnsi="仿宋_GB2312" w:eastAsia="仿宋_GB2312" w:cs="仿宋_GB2312"/>
          <w:b/>
          <w:bCs/>
          <w:sz w:val="28"/>
          <w:szCs w:val="28"/>
        </w:rPr>
        <w:t>义务</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5.1</w:t>
      </w:r>
      <w:r>
        <w:rPr>
          <w:rFonts w:hint="eastAsia" w:ascii="仿宋_GB2312" w:hAnsi="仿宋_GB2312" w:eastAsia="仿宋_GB2312" w:cs="仿宋_GB2312"/>
          <w:sz w:val="28"/>
          <w:szCs w:val="28"/>
        </w:rPr>
        <w:t>‌甲方权利与义务‌：</w:t>
      </w:r>
    </w:p>
    <w:p>
      <w:pPr>
        <w:snapToGrid w:val="0"/>
        <w:spacing w:line="50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rPr>
        <w:t>.1.1甲方对本合同项下的转让标的拥有合法、有效和完整的处分权，没有隐匿资产或债务的情况。</w:t>
      </w:r>
    </w:p>
    <w:p>
      <w:pPr>
        <w:snapToGrid w:val="0"/>
        <w:spacing w:line="50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rPr>
        <w:t>.1.2</w:t>
      </w:r>
      <w:r>
        <w:rPr>
          <w:rFonts w:hint="eastAsia" w:ascii="仿宋_GB2312" w:eastAsia="仿宋_GB2312"/>
          <w:sz w:val="28"/>
          <w:szCs w:val="28"/>
          <w:highlight w:val="none"/>
          <w:lang w:val="en-US" w:eastAsia="zh-CN"/>
        </w:rPr>
        <w:t>甲方保证</w:t>
      </w:r>
      <w:r>
        <w:rPr>
          <w:rFonts w:hint="eastAsia" w:ascii="仿宋_GB2312" w:eastAsia="仿宋_GB2312"/>
          <w:sz w:val="28"/>
          <w:szCs w:val="28"/>
          <w:highlight w:val="none"/>
        </w:rPr>
        <w:t>截至本合同签署之日及至</w:t>
      </w:r>
      <w:r>
        <w:rPr>
          <w:rFonts w:hint="eastAsia" w:ascii="仿宋_GB2312" w:eastAsia="仿宋_GB2312"/>
          <w:sz w:val="28"/>
          <w:szCs w:val="28"/>
          <w:highlight w:val="none"/>
          <w:lang w:val="en-US" w:eastAsia="zh-CN"/>
        </w:rPr>
        <w:t>资产移交</w:t>
      </w:r>
      <w:r>
        <w:rPr>
          <w:rFonts w:hint="eastAsia" w:ascii="仿宋_GB2312" w:eastAsia="仿宋_GB2312"/>
          <w:sz w:val="28"/>
          <w:szCs w:val="28"/>
          <w:highlight w:val="none"/>
        </w:rPr>
        <w:t>日，转让标的上不存在质押等担保权利，亦不涉及冻结等司法强制措施。</w:t>
      </w:r>
    </w:p>
    <w:p>
      <w:pPr>
        <w:snapToGrid w:val="0"/>
        <w:spacing w:line="50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rPr>
        <w:t>.1.3甲方向产权交易中心提交的涉及</w:t>
      </w:r>
      <w:r>
        <w:rPr>
          <w:rFonts w:hint="eastAsia" w:ascii="仿宋_GB2312" w:eastAsia="仿宋_GB2312"/>
          <w:sz w:val="28"/>
          <w:szCs w:val="28"/>
          <w:highlight w:val="none"/>
          <w:lang w:val="en-US" w:eastAsia="zh-CN"/>
        </w:rPr>
        <w:t>资产</w:t>
      </w:r>
      <w:r>
        <w:rPr>
          <w:rFonts w:hint="eastAsia" w:ascii="仿宋_GB2312" w:eastAsia="仿宋_GB2312"/>
          <w:sz w:val="28"/>
          <w:szCs w:val="28"/>
          <w:highlight w:val="none"/>
        </w:rPr>
        <w:t>转让的各项证明文件及资料均</w:t>
      </w:r>
      <w:r>
        <w:rPr>
          <w:rFonts w:hint="eastAsia" w:ascii="仿宋_GB2312" w:eastAsia="仿宋_GB2312"/>
          <w:sz w:val="28"/>
          <w:szCs w:val="28"/>
          <w:highlight w:val="none"/>
          <w:lang w:val="en-US" w:eastAsia="zh-CN"/>
        </w:rPr>
        <w:t>要</w:t>
      </w:r>
      <w:r>
        <w:rPr>
          <w:rFonts w:hint="eastAsia" w:ascii="仿宋_GB2312" w:eastAsia="仿宋_GB2312"/>
          <w:sz w:val="28"/>
          <w:szCs w:val="28"/>
          <w:highlight w:val="none"/>
        </w:rPr>
        <w:t>真实、完整、有效，不存在故意隐瞒对本合同构成重大不利影响的任何债务、争议、诉讼等情况。</w:t>
      </w:r>
    </w:p>
    <w:p>
      <w:pPr>
        <w:snapToGrid w:val="0"/>
        <w:spacing w:line="50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rPr>
        <w:t>.1.4甲方</w:t>
      </w:r>
      <w:r>
        <w:rPr>
          <w:rFonts w:hint="eastAsia" w:ascii="仿宋_GB2312" w:eastAsia="仿宋_GB2312"/>
          <w:sz w:val="28"/>
          <w:szCs w:val="28"/>
          <w:highlight w:val="none"/>
          <w:lang w:val="en-US" w:eastAsia="zh-CN"/>
        </w:rPr>
        <w:t>要</w:t>
      </w:r>
      <w:r>
        <w:rPr>
          <w:rFonts w:hint="eastAsia" w:ascii="仿宋_GB2312" w:eastAsia="仿宋_GB2312"/>
          <w:sz w:val="28"/>
          <w:szCs w:val="28"/>
          <w:highlight w:val="none"/>
        </w:rPr>
        <w:t>依法完成为签署及履行本合同所需的公司内部决策程序及上级单位审批/备案程序。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5.2</w:t>
      </w:r>
      <w:r>
        <w:rPr>
          <w:rFonts w:hint="eastAsia" w:ascii="仿宋_GB2312" w:hAnsi="仿宋_GB2312" w:eastAsia="仿宋_GB2312" w:cs="仿宋_GB2312"/>
          <w:sz w:val="28"/>
          <w:szCs w:val="28"/>
        </w:rPr>
        <w:t>‌乙方权利与义务‌：</w:t>
      </w:r>
    </w:p>
    <w:p>
      <w:pPr>
        <w:snapToGrid w:val="0"/>
        <w:spacing w:line="50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rPr>
        <w:t>.2.1乙方具备受让转让标的的合法的主体资格，乙方在本次</w:t>
      </w:r>
      <w:r>
        <w:rPr>
          <w:rFonts w:hint="eastAsia" w:ascii="仿宋_GB2312" w:eastAsia="仿宋_GB2312"/>
          <w:sz w:val="28"/>
          <w:szCs w:val="28"/>
          <w:highlight w:val="none"/>
          <w:lang w:eastAsia="zh-CN"/>
        </w:rPr>
        <w:t>股</w:t>
      </w:r>
      <w:r>
        <w:rPr>
          <w:rFonts w:hint="eastAsia" w:ascii="仿宋_GB2312" w:eastAsia="仿宋_GB2312"/>
          <w:sz w:val="28"/>
          <w:szCs w:val="28"/>
          <w:highlight w:val="none"/>
        </w:rPr>
        <w:t>权转让过程中不存在欺诈行为。</w:t>
      </w:r>
    </w:p>
    <w:p>
      <w:pPr>
        <w:snapToGrid w:val="0"/>
        <w:spacing w:line="50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rPr>
        <w:t>.2.2乙方受让转让标的符合法律、法规的规定，不违背中国境内的相关产业政策。</w:t>
      </w:r>
    </w:p>
    <w:p>
      <w:pPr>
        <w:snapToGrid w:val="0"/>
        <w:spacing w:line="50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rPr>
        <w:t>.2.3乙方向产权交易中心提交的涉及转让的各项证明文件及资料均</w:t>
      </w:r>
      <w:r>
        <w:rPr>
          <w:rFonts w:hint="eastAsia" w:ascii="仿宋_GB2312" w:eastAsia="仿宋_GB2312"/>
          <w:sz w:val="28"/>
          <w:szCs w:val="28"/>
          <w:highlight w:val="none"/>
          <w:lang w:val="en-US" w:eastAsia="zh-CN"/>
        </w:rPr>
        <w:t>要</w:t>
      </w:r>
      <w:r>
        <w:rPr>
          <w:rFonts w:hint="eastAsia" w:ascii="仿宋_GB2312" w:eastAsia="仿宋_GB2312"/>
          <w:sz w:val="28"/>
          <w:szCs w:val="28"/>
          <w:highlight w:val="none"/>
        </w:rPr>
        <w:t>真实、完整、有效，不存在故意隐瞒对本合同构成重大不利影响的任何债务、争议、诉讼等情况。</w:t>
      </w:r>
    </w:p>
    <w:p>
      <w:pPr>
        <w:snapToGrid w:val="0"/>
        <w:spacing w:line="500" w:lineRule="exact"/>
        <w:ind w:firstLine="560" w:firstLineChars="200"/>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5.2.4乙方要认真阅读转让信息中有关转让标的物的披露情况，参与竞价视同为清楚并同意接受转让标的物的现状，不得以任何形式向甲方提出异议。</w:t>
      </w:r>
    </w:p>
    <w:p>
      <w:pPr>
        <w:snapToGrid w:val="0"/>
        <w:spacing w:line="50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rPr>
        <w:t>.2.</w:t>
      </w: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rPr>
        <w:t>乙方</w:t>
      </w:r>
      <w:r>
        <w:rPr>
          <w:rFonts w:hint="eastAsia" w:ascii="仿宋_GB2312" w:eastAsia="仿宋_GB2312"/>
          <w:sz w:val="28"/>
          <w:szCs w:val="28"/>
          <w:highlight w:val="none"/>
          <w:lang w:val="en-US" w:eastAsia="zh-CN"/>
        </w:rPr>
        <w:t>要</w:t>
      </w:r>
      <w:r>
        <w:rPr>
          <w:rFonts w:hint="eastAsia" w:ascii="仿宋_GB2312" w:eastAsia="仿宋_GB2312"/>
          <w:sz w:val="28"/>
          <w:szCs w:val="28"/>
          <w:highlight w:val="none"/>
        </w:rPr>
        <w:t>依法完成为签署及履行本合同所需的公司内部决策程序及上级单位审批/备案程序。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5.2.6</w:t>
      </w:r>
      <w:r>
        <w:rPr>
          <w:rFonts w:hint="eastAsia" w:ascii="仿宋_GB2312" w:hAnsi="仿宋_GB2312" w:eastAsia="仿宋_GB2312" w:cs="仿宋_GB2312"/>
          <w:sz w:val="28"/>
          <w:szCs w:val="28"/>
        </w:rPr>
        <w:t>按照合同约定支付转让款项。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5.2.7</w:t>
      </w:r>
      <w:r>
        <w:rPr>
          <w:rFonts w:hint="eastAsia" w:ascii="仿宋_GB2312" w:hAnsi="仿宋_GB2312" w:eastAsia="仿宋_GB2312" w:cs="仿宋_GB2312"/>
          <w:sz w:val="28"/>
          <w:szCs w:val="28"/>
          <w:lang w:eastAsia="zh-CN"/>
        </w:rPr>
        <w:t>资产</w:t>
      </w:r>
      <w:r>
        <w:rPr>
          <w:rFonts w:hint="eastAsia" w:ascii="仿宋_GB2312" w:hAnsi="仿宋_GB2312" w:eastAsia="仿宋_GB2312" w:cs="仿宋_GB2312"/>
          <w:sz w:val="28"/>
          <w:szCs w:val="28"/>
          <w:lang w:val="en-US" w:eastAsia="zh-CN"/>
        </w:rPr>
        <w:t>移交</w:t>
      </w:r>
      <w:r>
        <w:rPr>
          <w:rFonts w:hint="eastAsia" w:ascii="仿宋_GB2312" w:hAnsi="仿宋_GB2312" w:eastAsia="仿宋_GB2312" w:cs="仿宋_GB2312"/>
          <w:sz w:val="28"/>
          <w:szCs w:val="28"/>
          <w:lang w:eastAsia="zh-CN"/>
        </w:rPr>
        <w:t>后</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相关权益和风险转移至乙方，甲方不再</w:t>
      </w:r>
      <w:r>
        <w:rPr>
          <w:rFonts w:hint="eastAsia" w:ascii="仿宋_GB2312" w:hAnsi="仿宋_GB2312" w:eastAsia="仿宋_GB2312" w:cs="仿宋_GB2312"/>
          <w:sz w:val="28"/>
          <w:szCs w:val="28"/>
        </w:rPr>
        <w:t>承担</w:t>
      </w:r>
      <w:r>
        <w:rPr>
          <w:rFonts w:hint="eastAsia" w:ascii="仿宋_GB2312" w:hAnsi="仿宋_GB2312" w:eastAsia="仿宋_GB2312" w:cs="仿宋_GB2312"/>
          <w:sz w:val="28"/>
          <w:szCs w:val="28"/>
          <w:lang w:val="en-US" w:eastAsia="zh-CN"/>
        </w:rPr>
        <w:t>资产移交后的相关资产安全、看管</w:t>
      </w:r>
      <w:r>
        <w:rPr>
          <w:rFonts w:hint="eastAsia" w:ascii="仿宋_GB2312" w:hAnsi="仿宋_GB2312" w:eastAsia="仿宋_GB2312" w:cs="仿宋_GB2312"/>
          <w:sz w:val="28"/>
          <w:szCs w:val="28"/>
        </w:rPr>
        <w:t>责任。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六、资产移交时间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6.1</w:t>
      </w:r>
      <w:r>
        <w:rPr>
          <w:rFonts w:hint="eastAsia" w:ascii="仿宋_GB2312" w:hAnsi="仿宋_GB2312" w:eastAsia="仿宋_GB2312" w:cs="仿宋_GB2312"/>
          <w:sz w:val="28"/>
          <w:szCs w:val="28"/>
          <w:lang w:eastAsia="zh-CN"/>
        </w:rPr>
        <w:t>收到</w:t>
      </w:r>
      <w:r>
        <w:rPr>
          <w:rFonts w:hint="eastAsia" w:ascii="仿宋_GB2312" w:hAnsi="仿宋_GB2312" w:eastAsia="仿宋_GB2312" w:cs="仿宋_GB2312"/>
          <w:sz w:val="28"/>
          <w:szCs w:val="28"/>
          <w:lang w:val="en-US" w:eastAsia="zh-CN"/>
        </w:rPr>
        <w:t>全款之日起5</w:t>
      </w:r>
      <w:r>
        <w:rPr>
          <w:rFonts w:hint="eastAsia" w:ascii="仿宋_GB2312" w:hAnsi="仿宋_GB2312" w:eastAsia="仿宋_GB2312" w:cs="仿宋_GB2312"/>
          <w:sz w:val="28"/>
          <w:szCs w:val="28"/>
          <w:lang w:eastAsia="zh-CN"/>
        </w:rPr>
        <w:t>个工作日内，甲、乙</w:t>
      </w:r>
      <w:r>
        <w:rPr>
          <w:rFonts w:hint="eastAsia" w:ascii="仿宋_GB2312" w:hAnsi="仿宋_GB2312" w:eastAsia="仿宋_GB2312" w:cs="仿宋_GB2312"/>
          <w:sz w:val="28"/>
          <w:szCs w:val="28"/>
          <w:lang w:val="en-US" w:eastAsia="zh-CN"/>
        </w:rPr>
        <w:t>双</w:t>
      </w:r>
      <w:r>
        <w:rPr>
          <w:rFonts w:hint="eastAsia" w:ascii="仿宋_GB2312" w:hAnsi="仿宋_GB2312" w:eastAsia="仿宋_GB2312" w:cs="仿宋_GB2312"/>
          <w:sz w:val="28"/>
          <w:szCs w:val="28"/>
          <w:lang w:eastAsia="zh-CN"/>
        </w:rPr>
        <w:t>方在现场实地验收移交</w:t>
      </w:r>
      <w:r>
        <w:rPr>
          <w:rFonts w:hint="eastAsia" w:ascii="仿宋_GB2312" w:hAnsi="仿宋_GB2312" w:eastAsia="仿宋_GB2312" w:cs="仿宋_GB2312"/>
          <w:sz w:val="28"/>
          <w:szCs w:val="28"/>
          <w:lang w:val="en-US" w:eastAsia="zh-CN"/>
        </w:rPr>
        <w:t>转让标的物资产</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、违约责任‌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7.1</w:t>
      </w:r>
      <w:r>
        <w:rPr>
          <w:rFonts w:hint="eastAsia" w:ascii="仿宋_GB2312" w:hAnsi="仿宋_GB2312" w:eastAsia="仿宋_GB2312" w:cs="仿宋_GB2312"/>
          <w:sz w:val="28"/>
          <w:szCs w:val="28"/>
        </w:rPr>
        <w:t>若甲方未能按时交付</w:t>
      </w:r>
      <w:r>
        <w:rPr>
          <w:rFonts w:hint="eastAsia" w:ascii="仿宋_GB2312" w:hAnsi="仿宋_GB2312" w:eastAsia="仿宋_GB2312" w:cs="仿宋_GB2312"/>
          <w:spacing w:val="0"/>
          <w:kern w:val="2"/>
          <w:sz w:val="28"/>
          <w:szCs w:val="28"/>
          <w:lang w:eastAsia="zh-CN"/>
        </w:rPr>
        <w:t>原吾祠煤矿+800</w:t>
      </w:r>
      <w:r>
        <w:rPr>
          <w:rFonts w:hint="eastAsia" w:ascii="仿宋_GB2312" w:hAnsi="仿宋_GB2312" w:eastAsia="仿宋_GB2312" w:cs="仿宋_GB2312"/>
          <w:spacing w:val="0"/>
          <w:kern w:val="2"/>
          <w:sz w:val="28"/>
          <w:szCs w:val="28"/>
        </w:rPr>
        <w:t>风井边上的吾祠变电所35KV间隔点</w:t>
      </w:r>
      <w:r>
        <w:rPr>
          <w:rFonts w:hint="eastAsia" w:ascii="仿宋_GB2312" w:hAnsi="Calibri" w:eastAsia="仿宋_GB2312" w:cs="Times New Roman"/>
          <w:spacing w:val="0"/>
          <w:kern w:val="2"/>
          <w:sz w:val="28"/>
          <w:szCs w:val="28"/>
          <w:highlight w:val="none"/>
          <w:lang w:val="en-US" w:eastAsia="zh-CN"/>
        </w:rPr>
        <w:t>和</w:t>
      </w:r>
      <w:r>
        <w:rPr>
          <w:rFonts w:hint="eastAsia" w:ascii="仿宋_GB2312" w:hAnsi="Calibri" w:eastAsia="仿宋_GB2312" w:cs="Times New Roman"/>
          <w:spacing w:val="0"/>
          <w:kern w:val="2"/>
          <w:sz w:val="28"/>
          <w:szCs w:val="28"/>
          <w:highlight w:val="none"/>
        </w:rPr>
        <w:t>供电项目线路工程</w:t>
      </w:r>
      <w:r>
        <w:rPr>
          <w:rFonts w:hint="eastAsia" w:ascii="仿宋_GB2312" w:eastAsia="仿宋_GB2312" w:cs="Times New Roman"/>
          <w:spacing w:val="0"/>
          <w:kern w:val="2"/>
          <w:sz w:val="28"/>
          <w:szCs w:val="28"/>
          <w:highlight w:val="none"/>
          <w:lang w:val="en-US" w:eastAsia="zh-CN"/>
        </w:rPr>
        <w:t>资产</w:t>
      </w:r>
      <w:r>
        <w:rPr>
          <w:rFonts w:hint="eastAsia" w:ascii="仿宋_GB2312" w:hAnsi="仿宋_GB2312" w:eastAsia="仿宋_GB2312" w:cs="仿宋_GB2312"/>
          <w:sz w:val="28"/>
          <w:szCs w:val="28"/>
        </w:rPr>
        <w:t>，应承担违约责任，赔偿乙方因此遭受的损失。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7.2</w:t>
      </w:r>
      <w:r>
        <w:rPr>
          <w:rFonts w:hint="eastAsia" w:ascii="仿宋_GB2312" w:hAnsi="仿宋_GB2312" w:eastAsia="仿宋_GB2312" w:cs="仿宋_GB2312"/>
          <w:sz w:val="28"/>
          <w:szCs w:val="28"/>
        </w:rPr>
        <w:t>若乙方</w:t>
      </w:r>
      <w:r>
        <w:rPr>
          <w:rFonts w:hint="eastAsia" w:ascii="仿宋_GB2312" w:hAnsi="仿宋_GB2312" w:eastAsia="仿宋_GB2312" w:cs="仿宋_GB2312"/>
          <w:sz w:val="28"/>
          <w:szCs w:val="28"/>
          <w:lang w:eastAsia="zh-CN"/>
        </w:rPr>
        <w:t>违反本合同</w:t>
      </w:r>
      <w:r>
        <w:rPr>
          <w:rFonts w:hint="eastAsia" w:ascii="仿宋_GB2312" w:hAnsi="仿宋_GB2312" w:eastAsia="仿宋_GB2312" w:cs="仿宋_GB2312"/>
          <w:sz w:val="28"/>
          <w:szCs w:val="28"/>
          <w:lang w:val="en-US" w:eastAsia="zh-CN"/>
        </w:rPr>
        <w:t>约定</w:t>
      </w:r>
      <w:r>
        <w:rPr>
          <w:rFonts w:hint="eastAsia" w:ascii="仿宋_GB2312" w:hAnsi="仿宋_GB2312" w:eastAsia="仿宋_GB2312" w:cs="仿宋_GB2312"/>
          <w:sz w:val="28"/>
          <w:szCs w:val="28"/>
        </w:rPr>
        <w:t>未能按时支付</w:t>
      </w:r>
      <w:r>
        <w:rPr>
          <w:rFonts w:hint="eastAsia" w:ascii="仿宋_GB2312" w:hAnsi="仿宋_GB2312" w:eastAsia="仿宋_GB2312" w:cs="仿宋_GB2312"/>
          <w:sz w:val="28"/>
          <w:szCs w:val="28"/>
          <w:lang w:eastAsia="zh-CN"/>
        </w:rPr>
        <w:t>尾款</w:t>
      </w:r>
      <w:r>
        <w:rPr>
          <w:rFonts w:hint="eastAsia" w:ascii="仿宋_GB2312" w:hAnsi="仿宋_GB2312" w:eastAsia="仿宋_GB2312" w:cs="仿宋_GB2312"/>
          <w:sz w:val="28"/>
          <w:szCs w:val="28"/>
        </w:rPr>
        <w:t>项，</w:t>
      </w:r>
      <w:r>
        <w:rPr>
          <w:rFonts w:hint="eastAsia" w:ascii="仿宋_GB2312" w:hAnsi="仿宋_GB2312" w:eastAsia="仿宋_GB2312" w:cs="仿宋_GB2312"/>
          <w:sz w:val="28"/>
          <w:szCs w:val="28"/>
          <w:lang w:eastAsia="zh-CN"/>
        </w:rPr>
        <w:t>每逾期一日按尾款</w:t>
      </w:r>
      <w:r>
        <w:rPr>
          <w:rFonts w:hint="eastAsia" w:ascii="仿宋_GB2312" w:hAnsi="仿宋_GB2312" w:eastAsia="仿宋_GB2312" w:cs="仿宋_GB2312"/>
          <w:sz w:val="28"/>
          <w:szCs w:val="28"/>
          <w:lang w:val="en-US" w:eastAsia="zh-CN"/>
        </w:rPr>
        <w:t>0.5%向甲方支付违约金，逾期累计达30日的，</w:t>
      </w:r>
      <w:r>
        <w:rPr>
          <w:rFonts w:hint="eastAsia" w:ascii="仿宋_GB2312" w:hAnsi="仿宋_GB2312" w:eastAsia="仿宋_GB2312" w:cs="仿宋_GB2312"/>
          <w:sz w:val="28"/>
          <w:szCs w:val="28"/>
          <w:lang w:eastAsia="zh-CN"/>
        </w:rPr>
        <w:t>甲方有权解除合同，并没收乙方支付</w:t>
      </w:r>
      <w:r>
        <w:rPr>
          <w:rFonts w:hint="eastAsia" w:ascii="仿宋_GB2312" w:hAnsi="仿宋_GB2312" w:eastAsia="仿宋_GB2312" w:cs="仿宋_GB2312"/>
          <w:sz w:val="28"/>
          <w:szCs w:val="28"/>
          <w:lang w:val="en-US" w:eastAsia="zh-CN"/>
        </w:rPr>
        <w:t>的履约保证</w:t>
      </w:r>
      <w:r>
        <w:rPr>
          <w:rFonts w:hint="eastAsia" w:ascii="仿宋_GB2312" w:hAnsi="仿宋_GB2312" w:eastAsia="仿宋_GB2312" w:cs="仿宋_GB2312"/>
          <w:sz w:val="28"/>
          <w:szCs w:val="28"/>
          <w:lang w:eastAsia="zh-CN"/>
        </w:rPr>
        <w:t>金</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、争议解决‌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8.1</w:t>
      </w:r>
      <w:r>
        <w:rPr>
          <w:rFonts w:hint="eastAsia" w:ascii="仿宋_GB2312" w:hAnsi="仿宋_GB2312" w:eastAsia="仿宋_GB2312" w:cs="仿宋_GB2312"/>
          <w:sz w:val="28"/>
          <w:szCs w:val="28"/>
        </w:rPr>
        <w:t>双方因履行本合同发生争议时，应首先通过友好协商解决。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8.2</w:t>
      </w:r>
      <w:r>
        <w:rPr>
          <w:rFonts w:hint="eastAsia" w:ascii="仿宋_GB2312" w:hAnsi="仿宋_GB2312" w:eastAsia="仿宋_GB2312" w:cs="仿宋_GB2312"/>
          <w:sz w:val="28"/>
          <w:szCs w:val="28"/>
        </w:rPr>
        <w:t>协商不成时，可提交至合同签订地有管辖权的人民法院诉讼解决。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九</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保密条款</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9.1甲、</w:t>
      </w:r>
      <w:r>
        <w:rPr>
          <w:rFonts w:hint="eastAsia" w:ascii="仿宋_GB2312" w:eastAsia="仿宋_GB2312"/>
          <w:sz w:val="28"/>
          <w:szCs w:val="28"/>
          <w:highlight w:val="none"/>
        </w:rPr>
        <w:t>乙</w:t>
      </w:r>
      <w:r>
        <w:rPr>
          <w:rFonts w:hint="eastAsia" w:ascii="仿宋_GB2312" w:eastAsia="仿宋_GB2312"/>
          <w:sz w:val="28"/>
          <w:szCs w:val="28"/>
          <w:highlight w:val="none"/>
          <w:lang w:val="en-US" w:eastAsia="zh-CN"/>
        </w:rPr>
        <w:t>双</w:t>
      </w:r>
      <w:r>
        <w:rPr>
          <w:rFonts w:hint="eastAsia" w:ascii="仿宋_GB2312" w:eastAsia="仿宋_GB2312"/>
          <w:sz w:val="28"/>
          <w:szCs w:val="28"/>
          <w:highlight w:val="none"/>
        </w:rPr>
        <w:t>方因签署及/或履行本合同而获悉的</w:t>
      </w:r>
      <w:r>
        <w:rPr>
          <w:rFonts w:hint="eastAsia" w:ascii="仿宋_GB2312" w:eastAsia="仿宋_GB2312"/>
          <w:sz w:val="28"/>
          <w:szCs w:val="28"/>
          <w:highlight w:val="none"/>
          <w:lang w:val="en-US" w:eastAsia="zh-CN"/>
        </w:rPr>
        <w:t>对</w:t>
      </w:r>
      <w:r>
        <w:rPr>
          <w:rFonts w:hint="eastAsia" w:ascii="仿宋_GB2312" w:eastAsia="仿宋_GB2312"/>
          <w:sz w:val="28"/>
          <w:szCs w:val="28"/>
          <w:highlight w:val="none"/>
        </w:rPr>
        <w:t>方非公开信息以及本合同和相关法律文件内容（本款中统称“保密信息”），</w:t>
      </w:r>
      <w:r>
        <w:rPr>
          <w:rFonts w:hint="eastAsia" w:ascii="仿宋_GB2312" w:eastAsia="仿宋_GB2312"/>
          <w:sz w:val="28"/>
          <w:szCs w:val="28"/>
          <w:highlight w:val="none"/>
          <w:lang w:val="en-US" w:eastAsia="zh-CN"/>
        </w:rPr>
        <w:t>双</w:t>
      </w:r>
      <w:r>
        <w:rPr>
          <w:rFonts w:hint="eastAsia" w:ascii="仿宋_GB2312" w:eastAsia="仿宋_GB2312"/>
          <w:sz w:val="28"/>
          <w:szCs w:val="28"/>
          <w:highlight w:val="none"/>
        </w:rPr>
        <w:t>方将承担保密义务，非经</w:t>
      </w:r>
      <w:r>
        <w:rPr>
          <w:rFonts w:hint="eastAsia" w:ascii="仿宋_GB2312" w:eastAsia="仿宋_GB2312"/>
          <w:sz w:val="28"/>
          <w:szCs w:val="28"/>
          <w:highlight w:val="none"/>
          <w:lang w:val="en-US" w:eastAsia="zh-CN"/>
        </w:rPr>
        <w:t>对</w:t>
      </w:r>
      <w:r>
        <w:rPr>
          <w:rFonts w:hint="eastAsia" w:ascii="仿宋_GB2312" w:eastAsia="仿宋_GB2312"/>
          <w:sz w:val="28"/>
          <w:szCs w:val="28"/>
          <w:highlight w:val="none"/>
        </w:rPr>
        <w:t>方事先书面同意，不得将保密信息披露、泄露给任何第三方或用于本合同以外的目的；但</w:t>
      </w:r>
      <w:r>
        <w:rPr>
          <w:rFonts w:hint="eastAsia" w:ascii="仿宋_GB2312" w:eastAsia="仿宋_GB2312"/>
          <w:sz w:val="28"/>
          <w:szCs w:val="28"/>
          <w:highlight w:val="none"/>
          <w:lang w:val="en-US" w:eastAsia="zh-CN"/>
        </w:rPr>
        <w:t>双</w:t>
      </w:r>
      <w:r>
        <w:rPr>
          <w:rFonts w:hint="eastAsia" w:ascii="仿宋_GB2312" w:eastAsia="仿宋_GB2312"/>
          <w:sz w:val="28"/>
          <w:szCs w:val="28"/>
          <w:highlight w:val="none"/>
        </w:rPr>
        <w:t>方依照法律规定或有权机关之命令所做的披露、或为本合同之目的而向相关职员、雇员、下属机构、顾问等所做的披露除外。</w:t>
      </w:r>
    </w:p>
    <w:p>
      <w:pPr>
        <w:spacing w:line="500" w:lineRule="exact"/>
        <w:ind w:firstLine="562" w:firstLineChars="200"/>
        <w:rPr>
          <w:rFonts w:hint="default"/>
          <w:lang w:val="en-US" w:eastAsia="zh-CN"/>
        </w:rPr>
      </w:pPr>
      <w:r>
        <w:rPr>
          <w:rFonts w:hint="eastAsia" w:ascii="仿宋_GB2312" w:hAnsi="仿宋_GB2312" w:eastAsia="仿宋_GB2312" w:cs="仿宋_GB2312"/>
          <w:b/>
          <w:bCs/>
          <w:sz w:val="28"/>
          <w:szCs w:val="28"/>
          <w:lang w:val="en-US" w:eastAsia="zh-CN"/>
        </w:rPr>
        <w:t>十、合同生效</w:t>
      </w:r>
    </w:p>
    <w:p>
      <w:pPr>
        <w:snapToGrid w:val="0"/>
        <w:spacing w:line="50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1</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.1本合同自甲乙双方法定代表人</w:t>
      </w:r>
      <w:r>
        <w:rPr>
          <w:rFonts w:hint="eastAsia" w:ascii="仿宋_GB2312" w:eastAsia="仿宋_GB2312"/>
          <w:sz w:val="28"/>
          <w:szCs w:val="28"/>
          <w:highlight w:val="none"/>
          <w:lang w:val="en-US" w:eastAsia="zh-CN"/>
        </w:rPr>
        <w:t>/</w:t>
      </w:r>
      <w:r>
        <w:rPr>
          <w:rFonts w:hint="eastAsia" w:ascii="仿宋_GB2312" w:eastAsia="仿宋_GB2312"/>
          <w:sz w:val="28"/>
          <w:szCs w:val="28"/>
          <w:highlight w:val="none"/>
        </w:rPr>
        <w:t xml:space="preserve">授权委托代表签字（或盖章）并加盖公章之日起生效。   </w:t>
      </w:r>
    </w:p>
    <w:p>
      <w:pPr>
        <w:snapToGrid w:val="0"/>
        <w:spacing w:line="50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1</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.2中华人民共和国法律、法规对本合同生效另有规定的，从其规定。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十一</w:t>
      </w:r>
      <w:r>
        <w:rPr>
          <w:rFonts w:hint="eastAsia" w:ascii="仿宋_GB2312" w:hAnsi="仿宋_GB2312" w:eastAsia="仿宋_GB2312" w:cs="仿宋_GB2312"/>
          <w:b/>
          <w:bCs/>
          <w:sz w:val="28"/>
          <w:szCs w:val="28"/>
        </w:rPr>
        <w:t>、其他条款‌</w:t>
      </w:r>
    </w:p>
    <w:p>
      <w:pPr>
        <w:snapToGrid w:val="0"/>
        <w:spacing w:line="50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1</w:t>
      </w:r>
      <w:r>
        <w:rPr>
          <w:rFonts w:hint="eastAsia" w:ascii="仿宋_GB2312" w:eastAsia="仿宋_GB2312"/>
          <w:sz w:val="28"/>
          <w:szCs w:val="28"/>
          <w:highlight w:val="none"/>
          <w:lang w:val="en-US" w:eastAsia="zh-CN"/>
        </w:rPr>
        <w:t>1</w:t>
      </w:r>
      <w:r>
        <w:rPr>
          <w:rFonts w:hint="eastAsia" w:ascii="仿宋_GB2312" w:eastAsia="仿宋_GB2312"/>
          <w:sz w:val="28"/>
          <w:szCs w:val="28"/>
          <w:highlight w:val="none"/>
        </w:rPr>
        <w:t>.1本合同未尽事宜，由甲、乙双方另行协商订立补充合同。</w:t>
      </w:r>
    </w:p>
    <w:p>
      <w:pPr>
        <w:snapToGrid w:val="0"/>
        <w:spacing w:line="500" w:lineRule="exact"/>
        <w:ind w:firstLine="560" w:firstLineChars="200"/>
        <w:rPr>
          <w:rFonts w:hint="eastAsia" w:ascii="仿宋_GB2312" w:eastAsia="仿宋_GB2312"/>
          <w:sz w:val="28"/>
          <w:szCs w:val="28"/>
          <w:highlight w:val="none"/>
        </w:rPr>
      </w:pPr>
      <w:r>
        <w:rPr>
          <w:rFonts w:hint="eastAsia" w:ascii="仿宋_GB2312" w:hAnsi="Calibri" w:eastAsia="仿宋_GB2312" w:cs="Times New Roman"/>
          <w:sz w:val="28"/>
          <w:szCs w:val="28"/>
          <w:highlight w:val="none"/>
          <w:lang w:val="en-US" w:eastAsia="zh-CN"/>
        </w:rPr>
        <w:t>11.2</w:t>
      </w:r>
      <w:r>
        <w:rPr>
          <w:rFonts w:hint="eastAsia" w:ascii="仿宋_GB2312" w:hAnsi="Calibri" w:eastAsia="仿宋_GB2312" w:cs="Times New Roman"/>
          <w:sz w:val="28"/>
          <w:szCs w:val="28"/>
          <w:highlight w:val="none"/>
          <w:lang w:eastAsia="zh-CN"/>
        </w:rPr>
        <w:t>特别披露事项：</w:t>
      </w:r>
      <w:r>
        <w:rPr>
          <w:rFonts w:hint="eastAsia" w:ascii="仿宋_GB2312" w:hAnsi="Calibri" w:eastAsia="仿宋_GB2312" w:cs="Times New Roman"/>
          <w:sz w:val="28"/>
          <w:szCs w:val="28"/>
          <w:highlight w:val="none"/>
          <w:lang w:val="en-US" w:eastAsia="zh-CN"/>
        </w:rPr>
        <w:t>吾祠变电所35KV间隔工程房屋建筑物及35KV吾祠变电所技改工程</w:t>
      </w:r>
      <w:r>
        <w:rPr>
          <w:rFonts w:hint="eastAsia" w:ascii="仿宋_GB2312" w:eastAsia="仿宋_GB2312" w:cs="Times New Roman"/>
          <w:sz w:val="28"/>
          <w:szCs w:val="28"/>
          <w:highlight w:val="none"/>
          <w:lang w:val="en-US" w:eastAsia="zh-CN"/>
        </w:rPr>
        <w:t>仅有使用权</w:t>
      </w:r>
      <w:r>
        <w:rPr>
          <w:rFonts w:hint="eastAsia" w:ascii="仿宋_GB2312" w:hAnsi="Calibri" w:eastAsia="仿宋_GB2312" w:cs="Times New Roman"/>
          <w:sz w:val="28"/>
          <w:szCs w:val="28"/>
          <w:highlight w:val="none"/>
          <w:lang w:val="en-US" w:eastAsia="zh-CN"/>
        </w:rPr>
        <w:t>，不列入本次资产范围。</w:t>
      </w:r>
    </w:p>
    <w:p>
      <w:pPr>
        <w:snapToGrid w:val="0"/>
        <w:spacing w:line="50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1</w:t>
      </w:r>
      <w:r>
        <w:rPr>
          <w:rFonts w:hint="eastAsia" w:ascii="仿宋_GB2312" w:eastAsia="仿宋_GB2312"/>
          <w:sz w:val="28"/>
          <w:szCs w:val="28"/>
          <w:highlight w:val="none"/>
          <w:lang w:val="en-US" w:eastAsia="zh-CN"/>
        </w:rPr>
        <w:t>1</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“合同使用须知”和本合同所必备的附件，与本合同具有同等的法律效力。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本合同一式</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份，甲</w:t>
      </w:r>
      <w:r>
        <w:rPr>
          <w:rFonts w:hint="eastAsia" w:ascii="仿宋_GB2312" w:hAnsi="仿宋_GB2312" w:eastAsia="仿宋_GB2312" w:cs="仿宋_GB2312"/>
          <w:sz w:val="28"/>
          <w:szCs w:val="28"/>
          <w:lang w:val="en-US" w:eastAsia="zh-CN"/>
        </w:rPr>
        <w:t>乙双</w:t>
      </w:r>
      <w:r>
        <w:rPr>
          <w:rFonts w:hint="eastAsia" w:ascii="仿宋_GB2312" w:hAnsi="仿宋_GB2312" w:eastAsia="仿宋_GB2312" w:cs="仿宋_GB2312"/>
          <w:sz w:val="28"/>
          <w:szCs w:val="28"/>
        </w:rPr>
        <w:t>方</w:t>
      </w:r>
      <w:r>
        <w:rPr>
          <w:rFonts w:hint="eastAsia" w:ascii="仿宋_GB2312" w:hAnsi="仿宋_GB2312" w:eastAsia="仿宋_GB2312" w:cs="仿宋_GB2312"/>
          <w:sz w:val="28"/>
          <w:szCs w:val="28"/>
          <w:lang w:val="en-US" w:eastAsia="zh-CN"/>
        </w:rPr>
        <w:t>各</w:t>
      </w:r>
      <w:r>
        <w:rPr>
          <w:rFonts w:hint="eastAsia" w:ascii="仿宋_GB2312" w:hAnsi="仿宋_GB2312" w:eastAsia="仿宋_GB2312" w:cs="仿宋_GB2312"/>
          <w:sz w:val="28"/>
          <w:szCs w:val="28"/>
        </w:rPr>
        <w:t>执</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龙岩市产权交易中交</w:t>
      </w:r>
      <w:r>
        <w:rPr>
          <w:rFonts w:hint="eastAsia" w:ascii="仿宋_GB2312" w:hAnsi="仿宋_GB2312" w:eastAsia="仿宋_GB2312" w:cs="仿宋_GB2312"/>
          <w:sz w:val="28"/>
          <w:szCs w:val="28"/>
        </w:rPr>
        <w:t>执一份，具有同等法律效力。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福煤（漳平）煤业有限公司原吾祠煤矿+800风井边上的吾祠变电所35KV间隔</w:t>
      </w:r>
      <w:r>
        <w:rPr>
          <w:rFonts w:hint="eastAsia" w:ascii="仿宋_GB2312" w:hAnsi="仿宋_GB2312" w:eastAsia="仿宋_GB2312" w:cs="仿宋_GB2312"/>
          <w:sz w:val="28"/>
          <w:szCs w:val="28"/>
          <w:lang w:val="en-US" w:eastAsia="zh-CN"/>
        </w:rPr>
        <w:t>点</w:t>
      </w:r>
      <w:r>
        <w:rPr>
          <w:rFonts w:hint="eastAsia" w:ascii="仿宋_GB2312" w:hAnsi="仿宋_GB2312" w:eastAsia="仿宋_GB2312" w:cs="仿宋_GB2312"/>
          <w:sz w:val="28"/>
          <w:szCs w:val="28"/>
          <w:lang w:eastAsia="zh-CN"/>
        </w:rPr>
        <w:t>及</w:t>
      </w:r>
      <w:r>
        <w:rPr>
          <w:rFonts w:hint="eastAsia" w:ascii="仿宋_GB2312" w:hAnsi="仿宋_GB2312" w:eastAsia="仿宋_GB2312" w:cs="仿宋_GB2312"/>
          <w:sz w:val="28"/>
          <w:szCs w:val="28"/>
          <w:lang w:val="en-US" w:eastAsia="zh-CN"/>
        </w:rPr>
        <w:t>供电项目线路工程资产</w:t>
      </w:r>
      <w:r>
        <w:rPr>
          <w:rFonts w:hint="eastAsia" w:ascii="仿宋_GB2312" w:hAnsi="仿宋_GB2312" w:eastAsia="仿宋_GB2312" w:cs="仿宋_GB2312"/>
          <w:sz w:val="28"/>
          <w:szCs w:val="28"/>
          <w:lang w:eastAsia="zh-CN"/>
        </w:rPr>
        <w:t>明细表》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乙方：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840" w:firstLineChars="30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盖章）：                 （盖章）：   </w:t>
      </w: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w:t>
      </w:r>
      <w:r>
        <w:rPr>
          <w:rFonts w:hint="eastAsia" w:ascii="仿宋_GB2312" w:hAnsi="仿宋_GB2312" w:eastAsia="仿宋_GB2312" w:cs="仿宋_GB2312"/>
          <w:sz w:val="28"/>
          <w:szCs w:val="28"/>
          <w:lang w:val="en-US" w:eastAsia="zh-CN"/>
        </w:rPr>
        <w:t>字或盖</w:t>
      </w:r>
      <w:r>
        <w:rPr>
          <w:rFonts w:hint="eastAsia" w:ascii="仿宋_GB2312" w:hAnsi="仿宋_GB2312" w:eastAsia="仿宋_GB2312" w:cs="仿宋_GB2312"/>
          <w:sz w:val="28"/>
          <w:szCs w:val="28"/>
        </w:rPr>
        <w:t>章）：</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法定代表人（签</w:t>
      </w:r>
      <w:r>
        <w:rPr>
          <w:rFonts w:hint="eastAsia" w:ascii="仿宋_GB2312" w:hAnsi="仿宋_GB2312" w:eastAsia="仿宋_GB2312" w:cs="仿宋_GB2312"/>
          <w:sz w:val="28"/>
          <w:szCs w:val="28"/>
          <w:lang w:val="en-US" w:eastAsia="zh-CN"/>
        </w:rPr>
        <w:t>字或盖</w:t>
      </w:r>
      <w:r>
        <w:rPr>
          <w:rFonts w:hint="eastAsia" w:ascii="仿宋_GB2312" w:hAnsi="仿宋_GB2312" w:eastAsia="仿宋_GB2312" w:cs="仿宋_GB2312"/>
          <w:sz w:val="28"/>
          <w:szCs w:val="28"/>
        </w:rPr>
        <w:t>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p>
    <w:p>
      <w:pPr>
        <w:pStyle w:val="2"/>
        <w:rPr>
          <w:rFonts w:hint="eastAsia"/>
        </w:rPr>
      </w:pPr>
    </w:p>
    <w:p>
      <w:pPr>
        <w:pStyle w:val="2"/>
        <w:rPr>
          <w:rFonts w:hint="eastAsia" w:ascii="仿宋_GB2312" w:hAnsi="仿宋_GB2312" w:eastAsia="仿宋_GB2312" w:cs="仿宋_GB2312"/>
          <w:sz w:val="28"/>
          <w:szCs w:val="28"/>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签订地点：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sz w:val="28"/>
          <w:szCs w:val="28"/>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8"/>
          <w:szCs w:val="28"/>
        </w:rPr>
        <w:t>签订时间：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日</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附件：福煤（漳平）煤业有限公司原吾祠煤矿</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+800风井边上的吾祠变电所35KV间隔</w:t>
      </w:r>
      <w:r>
        <w:rPr>
          <w:rFonts w:hint="eastAsia" w:ascii="仿宋_GB2312" w:hAnsi="仿宋_GB2312" w:eastAsia="仿宋_GB2312" w:cs="仿宋_GB2312"/>
          <w:sz w:val="28"/>
          <w:szCs w:val="28"/>
          <w:lang w:val="en-US" w:eastAsia="zh-CN"/>
        </w:rPr>
        <w:t>点</w:t>
      </w:r>
      <w:r>
        <w:rPr>
          <w:rFonts w:hint="eastAsia" w:ascii="仿宋_GB2312" w:hAnsi="仿宋_GB2312" w:eastAsia="仿宋_GB2312" w:cs="仿宋_GB2312"/>
          <w:sz w:val="28"/>
          <w:szCs w:val="28"/>
          <w:lang w:eastAsia="zh-CN"/>
        </w:rPr>
        <w:t>及</w:t>
      </w:r>
      <w:r>
        <w:rPr>
          <w:rFonts w:hint="eastAsia" w:ascii="仿宋_GB2312" w:hAnsi="仿宋_GB2312" w:eastAsia="仿宋_GB2312" w:cs="仿宋_GB2312"/>
          <w:sz w:val="28"/>
          <w:szCs w:val="28"/>
          <w:lang w:val="en-US" w:eastAsia="zh-CN"/>
        </w:rPr>
        <w:t>供电项目线路工程资产</w:t>
      </w:r>
      <w:r>
        <w:rPr>
          <w:rFonts w:hint="eastAsia" w:ascii="仿宋_GB2312" w:hAnsi="仿宋_GB2312" w:eastAsia="仿宋_GB2312" w:cs="仿宋_GB2312"/>
          <w:sz w:val="28"/>
          <w:szCs w:val="28"/>
          <w:lang w:eastAsia="zh-CN"/>
        </w:rPr>
        <w:t>明细表</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99"/>
        <w:gridCol w:w="1592"/>
        <w:gridCol w:w="2332"/>
        <w:gridCol w:w="537"/>
        <w:gridCol w:w="784"/>
        <w:gridCol w:w="595"/>
        <w:gridCol w:w="1232"/>
        <w:gridCol w:w="1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序号</w:t>
            </w:r>
          </w:p>
        </w:tc>
        <w:tc>
          <w:tcPr>
            <w:tcW w:w="15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设备名称</w:t>
            </w:r>
          </w:p>
        </w:tc>
        <w:tc>
          <w:tcPr>
            <w:tcW w:w="23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规格型号</w:t>
            </w:r>
          </w:p>
        </w:tc>
        <w:tc>
          <w:tcPr>
            <w:tcW w:w="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计量</w:t>
            </w:r>
            <w:r>
              <w:rPr>
                <w:rFonts w:hint="default" w:ascii="华文楷体" w:hAnsi="华文楷体" w:eastAsia="华文楷体" w:cs="华文楷体"/>
                <w:i w:val="0"/>
                <w:color w:val="000000"/>
                <w:kern w:val="0"/>
                <w:sz w:val="20"/>
                <w:szCs w:val="20"/>
                <w:u w:val="none"/>
                <w:lang w:val="en-US" w:eastAsia="zh-CN" w:bidi="ar"/>
              </w:rPr>
              <w:br w:type="textWrapping"/>
            </w:r>
            <w:r>
              <w:rPr>
                <w:rFonts w:hint="default" w:ascii="华文楷体" w:hAnsi="华文楷体" w:eastAsia="华文楷体" w:cs="华文楷体"/>
                <w:i w:val="0"/>
                <w:color w:val="000000"/>
                <w:kern w:val="0"/>
                <w:sz w:val="20"/>
                <w:szCs w:val="20"/>
                <w:u w:val="none"/>
                <w:lang w:val="en-US" w:eastAsia="zh-CN" w:bidi="ar"/>
              </w:rPr>
              <w:t>单位</w:t>
            </w:r>
          </w:p>
        </w:tc>
        <w:tc>
          <w:tcPr>
            <w:tcW w:w="7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数量</w:t>
            </w:r>
          </w:p>
        </w:tc>
        <w:tc>
          <w:tcPr>
            <w:tcW w:w="5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购置</w:t>
            </w:r>
            <w:r>
              <w:rPr>
                <w:rFonts w:hint="default" w:ascii="华文楷体" w:hAnsi="华文楷体" w:eastAsia="华文楷体" w:cs="华文楷体"/>
                <w:i w:val="0"/>
                <w:color w:val="000000"/>
                <w:kern w:val="0"/>
                <w:sz w:val="20"/>
                <w:szCs w:val="20"/>
                <w:u w:val="none"/>
                <w:lang w:val="en-US" w:eastAsia="zh-CN" w:bidi="ar"/>
              </w:rPr>
              <w:br w:type="textWrapping"/>
            </w:r>
            <w:r>
              <w:rPr>
                <w:rFonts w:hint="default" w:ascii="华文楷体" w:hAnsi="华文楷体" w:eastAsia="华文楷体" w:cs="华文楷体"/>
                <w:i w:val="0"/>
                <w:color w:val="000000"/>
                <w:kern w:val="0"/>
                <w:sz w:val="20"/>
                <w:szCs w:val="20"/>
                <w:u w:val="none"/>
                <w:lang w:val="en-US" w:eastAsia="zh-CN" w:bidi="ar"/>
              </w:rPr>
              <w:t>日期</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帐面价值(    元）</w:t>
            </w:r>
          </w:p>
        </w:tc>
        <w:tc>
          <w:tcPr>
            <w:tcW w:w="15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15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23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5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5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原值</w:t>
            </w:r>
          </w:p>
        </w:tc>
        <w:tc>
          <w:tcPr>
            <w:tcW w:w="1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吾祠变电所35KV间隔工程房屋建筑物</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 xml:space="preserve"> 507,614.98 </w:t>
            </w:r>
          </w:p>
        </w:tc>
        <w:tc>
          <w:tcPr>
            <w:tcW w:w="15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1.序号1-27均为间隔点资产。</w:t>
            </w:r>
            <w:r>
              <w:rPr>
                <w:rFonts w:hint="default" w:ascii="华文楷体" w:hAnsi="华文楷体" w:eastAsia="华文楷体" w:cs="华文楷体"/>
                <w:i w:val="0"/>
                <w:color w:val="000000"/>
                <w:kern w:val="0"/>
                <w:sz w:val="20"/>
                <w:szCs w:val="20"/>
                <w:u w:val="none"/>
                <w:lang w:val="en-US" w:eastAsia="zh-CN" w:bidi="ar"/>
              </w:rPr>
              <w:br w:type="textWrapping"/>
            </w:r>
            <w:r>
              <w:rPr>
                <w:rFonts w:hint="default" w:ascii="华文楷体" w:hAnsi="华文楷体" w:eastAsia="华文楷体" w:cs="华文楷体"/>
                <w:i w:val="0"/>
                <w:color w:val="000000"/>
                <w:kern w:val="0"/>
                <w:sz w:val="20"/>
                <w:szCs w:val="20"/>
                <w:u w:val="none"/>
                <w:lang w:val="en-US" w:eastAsia="zh-CN" w:bidi="ar"/>
              </w:rPr>
              <w:t>2.资产目前坐落或安装于漳平市吾祠乡上吾祠路29号国网漳平市供电公司吾祠35KV变电站场地内。</w:t>
            </w:r>
            <w:r>
              <w:rPr>
                <w:rFonts w:hint="default" w:ascii="华文楷体" w:hAnsi="华文楷体" w:eastAsia="华文楷体" w:cs="华文楷体"/>
                <w:i w:val="0"/>
                <w:color w:val="000000"/>
                <w:kern w:val="0"/>
                <w:sz w:val="20"/>
                <w:szCs w:val="20"/>
                <w:u w:val="none"/>
                <w:lang w:val="en-US" w:eastAsia="zh-CN" w:bidi="ar"/>
              </w:rPr>
              <w:br w:type="textWrapping"/>
            </w:r>
            <w:r>
              <w:rPr>
                <w:rFonts w:hint="default" w:ascii="华文楷体" w:hAnsi="华文楷体" w:eastAsia="华文楷体" w:cs="华文楷体"/>
                <w:i w:val="0"/>
                <w:color w:val="000000"/>
                <w:kern w:val="0"/>
                <w:sz w:val="20"/>
                <w:szCs w:val="20"/>
                <w:u w:val="none"/>
                <w:lang w:val="en-US" w:eastAsia="zh-CN" w:bidi="ar"/>
              </w:rPr>
              <w:t>3.经与国网漳平市供电公司核实确认，序号1为房屋建筑物、序号23为</w:t>
            </w:r>
            <w:r>
              <w:rPr>
                <w:rFonts w:hint="eastAsia" w:ascii="华文楷体" w:hAnsi="华文楷体" w:eastAsia="华文楷体" w:cs="华文楷体"/>
                <w:i w:val="0"/>
                <w:color w:val="000000"/>
                <w:kern w:val="0"/>
                <w:sz w:val="20"/>
                <w:szCs w:val="20"/>
                <w:u w:val="none"/>
                <w:lang w:val="en-US" w:eastAsia="zh-CN" w:bidi="ar"/>
              </w:rPr>
              <w:t>技改</w:t>
            </w:r>
            <w:r>
              <w:rPr>
                <w:rFonts w:hint="default" w:ascii="华文楷体" w:hAnsi="华文楷体" w:eastAsia="华文楷体" w:cs="华文楷体"/>
                <w:i w:val="0"/>
                <w:color w:val="000000"/>
                <w:kern w:val="0"/>
                <w:sz w:val="20"/>
                <w:szCs w:val="20"/>
                <w:u w:val="none"/>
                <w:lang w:val="en-US" w:eastAsia="zh-CN" w:bidi="ar"/>
              </w:rPr>
              <w:t>工程</w:t>
            </w:r>
            <w:r>
              <w:rPr>
                <w:rFonts w:hint="eastAsia" w:ascii="华文楷体" w:hAnsi="华文楷体" w:eastAsia="华文楷体" w:cs="华文楷体"/>
                <w:i w:val="0"/>
                <w:color w:val="000000"/>
                <w:kern w:val="0"/>
                <w:sz w:val="20"/>
                <w:szCs w:val="20"/>
                <w:u w:val="none"/>
                <w:lang w:val="en-US" w:eastAsia="zh-CN" w:bidi="ar"/>
              </w:rPr>
              <w:t>仅有使用权</w:t>
            </w:r>
            <w:r>
              <w:rPr>
                <w:rFonts w:hint="default" w:ascii="华文楷体" w:hAnsi="华文楷体" w:eastAsia="华文楷体" w:cs="华文楷体"/>
                <w:i w:val="0"/>
                <w:color w:val="000000"/>
                <w:kern w:val="0"/>
                <w:sz w:val="20"/>
                <w:szCs w:val="20"/>
                <w:u w:val="none"/>
                <w:lang w:val="en-US" w:eastAsia="zh-CN" w:bidi="ar"/>
              </w:rPr>
              <w:t>，不列入</w:t>
            </w:r>
            <w:r>
              <w:rPr>
                <w:rFonts w:hint="eastAsia" w:ascii="华文楷体" w:hAnsi="华文楷体" w:eastAsia="华文楷体" w:cs="华文楷体"/>
                <w:i w:val="0"/>
                <w:color w:val="000000"/>
                <w:kern w:val="0"/>
                <w:sz w:val="20"/>
                <w:szCs w:val="20"/>
                <w:u w:val="none"/>
                <w:lang w:val="en-US" w:eastAsia="zh-CN" w:bidi="ar"/>
              </w:rPr>
              <w:t>资产</w:t>
            </w:r>
            <w:r>
              <w:rPr>
                <w:rFonts w:hint="default" w:ascii="华文楷体" w:hAnsi="华文楷体" w:eastAsia="华文楷体" w:cs="华文楷体"/>
                <w:i w:val="0"/>
                <w:color w:val="000000"/>
                <w:kern w:val="0"/>
                <w:sz w:val="20"/>
                <w:szCs w:val="20"/>
                <w:u w:val="none"/>
                <w:lang w:val="en-US" w:eastAsia="zh-CN" w:bidi="ar"/>
              </w:rPr>
              <w:t>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2</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35kV线路保护测控及公用测控柜</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 xml:space="preserve"> 62,044.31 </w:t>
            </w:r>
          </w:p>
        </w:tc>
        <w:tc>
          <w:tcPr>
            <w:tcW w:w="1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华文楷体" w:hAnsi="华文楷体" w:eastAsia="华文楷体" w:cs="华文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3</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35kV线路保护测控后台监控系统</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 xml:space="preserve"> 25,945.80 </w:t>
            </w:r>
          </w:p>
        </w:tc>
        <w:tc>
          <w:tcPr>
            <w:tcW w:w="1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华文楷体" w:hAnsi="华文楷体" w:eastAsia="华文楷体" w:cs="华文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4</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计量空屏</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 xml:space="preserve"> 9,666.50 </w:t>
            </w:r>
          </w:p>
        </w:tc>
        <w:tc>
          <w:tcPr>
            <w:tcW w:w="1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华文楷体" w:hAnsi="华文楷体" w:eastAsia="华文楷体" w:cs="华文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5</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公用测控屏</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（含35kV、6kV电压并列装置）</w:t>
            </w: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 xml:space="preserve"> 80,477.11 </w:t>
            </w:r>
          </w:p>
        </w:tc>
        <w:tc>
          <w:tcPr>
            <w:tcW w:w="1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华文楷体" w:hAnsi="华文楷体" w:eastAsia="华文楷体" w:cs="华文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6</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35kV线路保护测控装置</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 xml:space="preserve"> 6,243.91 </w:t>
            </w:r>
          </w:p>
        </w:tc>
        <w:tc>
          <w:tcPr>
            <w:tcW w:w="1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华文楷体" w:hAnsi="华文楷体" w:eastAsia="华文楷体" w:cs="华文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7</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35kV母联保护测控装置</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 xml:space="preserve"> 6,243.91 </w:t>
            </w:r>
          </w:p>
        </w:tc>
        <w:tc>
          <w:tcPr>
            <w:tcW w:w="1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华文楷体" w:hAnsi="华文楷体" w:eastAsia="华文楷体" w:cs="华文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8</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微机消谐装置</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 xml:space="preserve"> 14,453.50 </w:t>
            </w:r>
          </w:p>
        </w:tc>
        <w:tc>
          <w:tcPr>
            <w:tcW w:w="1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华文楷体" w:hAnsi="华文楷体" w:eastAsia="华文楷体" w:cs="华文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9</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35KV六氟化硫断路器</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LW36-40.5(W)/T2500-31.5</w:t>
            </w: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 xml:space="preserve"> 154,185.76 </w:t>
            </w:r>
          </w:p>
        </w:tc>
        <w:tc>
          <w:tcPr>
            <w:tcW w:w="1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华文楷体" w:hAnsi="华文楷体" w:eastAsia="华文楷体" w:cs="华文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10</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35KV隔离开关</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GW4A-40.5(DI)(W)/1250</w:t>
            </w: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 xml:space="preserve"> 23,399.96 </w:t>
            </w:r>
          </w:p>
        </w:tc>
        <w:tc>
          <w:tcPr>
            <w:tcW w:w="1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华文楷体" w:hAnsi="华文楷体" w:eastAsia="华文楷体" w:cs="华文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11</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35KV隔离开关</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GW4A-40.5(DII)(W)/1250</w:t>
            </w: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 xml:space="preserve"> 37,548.77 </w:t>
            </w:r>
          </w:p>
        </w:tc>
        <w:tc>
          <w:tcPr>
            <w:tcW w:w="1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华文楷体" w:hAnsi="华文楷体" w:eastAsia="华文楷体" w:cs="华文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12</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35KV电流互感器</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LZZBW-35 2*50/5 0.2S/0.5/10P/10P</w:t>
            </w: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 xml:space="preserve"> 24,828.44 </w:t>
            </w:r>
          </w:p>
        </w:tc>
        <w:tc>
          <w:tcPr>
            <w:tcW w:w="1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华文楷体" w:hAnsi="华文楷体" w:eastAsia="华文楷体" w:cs="华文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13</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35KV电流互感器</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LZZBW-35 150,200,300/5 0.2S/0.5/10P/10P</w:t>
            </w: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 xml:space="preserve"> 24,148.21 </w:t>
            </w:r>
          </w:p>
        </w:tc>
        <w:tc>
          <w:tcPr>
            <w:tcW w:w="1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华文楷体" w:hAnsi="华文楷体" w:eastAsia="华文楷体" w:cs="华文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14</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35KV电流互感器</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JDZXW-35 0.2/0.5/6P 35/3</w:t>
            </w: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 xml:space="preserve"> 26,529.02 </w:t>
            </w:r>
          </w:p>
        </w:tc>
        <w:tc>
          <w:tcPr>
            <w:tcW w:w="1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华文楷体" w:hAnsi="华文楷体" w:eastAsia="华文楷体" w:cs="华文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15</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35KV电流互感器</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TYD-35//3-0.01HF</w:t>
            </w: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 xml:space="preserve"> 56,663.27 </w:t>
            </w:r>
          </w:p>
        </w:tc>
        <w:tc>
          <w:tcPr>
            <w:tcW w:w="1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华文楷体" w:hAnsi="华文楷体" w:eastAsia="华文楷体" w:cs="华文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16</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阻波器</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XZK-400-0.5</w:t>
            </w: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 xml:space="preserve"> 9,976.73 </w:t>
            </w:r>
          </w:p>
        </w:tc>
        <w:tc>
          <w:tcPr>
            <w:tcW w:w="1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华文楷体" w:hAnsi="华文楷体" w:eastAsia="华文楷体" w:cs="华文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17</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动力检修箱</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XJFWL</w:t>
            </w: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 xml:space="preserve"> 5,317.14 </w:t>
            </w:r>
          </w:p>
        </w:tc>
        <w:tc>
          <w:tcPr>
            <w:tcW w:w="1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华文楷体" w:hAnsi="华文楷体" w:eastAsia="华文楷体" w:cs="华文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18</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端子箱</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DXW-2</w:t>
            </w: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 xml:space="preserve"> 14,795.03 </w:t>
            </w:r>
          </w:p>
        </w:tc>
        <w:tc>
          <w:tcPr>
            <w:tcW w:w="1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华文楷体" w:hAnsi="华文楷体" w:eastAsia="华文楷体" w:cs="华文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19</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端子箱</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DXW-3</w:t>
            </w: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 xml:space="preserve"> 4,163.02 </w:t>
            </w:r>
          </w:p>
        </w:tc>
        <w:tc>
          <w:tcPr>
            <w:tcW w:w="1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华文楷体" w:hAnsi="华文楷体" w:eastAsia="华文楷体" w:cs="华文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20</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35KV限流熔断器</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RW10-35/0.5</w:t>
            </w: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 xml:space="preserve"> 2,430.00 </w:t>
            </w:r>
          </w:p>
        </w:tc>
        <w:tc>
          <w:tcPr>
            <w:tcW w:w="1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华文楷体" w:hAnsi="华文楷体" w:eastAsia="华文楷体" w:cs="华文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21</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35KV氧化锌避雷器</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HY5WZ1-51/134</w:t>
            </w: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 xml:space="preserve"> 13,950.00 </w:t>
            </w:r>
          </w:p>
        </w:tc>
        <w:tc>
          <w:tcPr>
            <w:tcW w:w="1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华文楷体" w:hAnsi="华文楷体" w:eastAsia="华文楷体" w:cs="华文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22</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35KV户外带电显示器</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DX-35W</w:t>
            </w: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 xml:space="preserve"> 2,880.00 </w:t>
            </w:r>
          </w:p>
        </w:tc>
        <w:tc>
          <w:tcPr>
            <w:tcW w:w="1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华文楷体" w:hAnsi="华文楷体" w:eastAsia="华文楷体" w:cs="华文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23</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color w:val="000000"/>
                <w:kern w:val="0"/>
                <w:sz w:val="20"/>
                <w:szCs w:val="20"/>
                <w:lang w:bidi="ar"/>
              </w:rPr>
              <w:t>35KV吾祠变电所技改工程</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 xml:space="preserve"> 783,703.48 </w:t>
            </w:r>
          </w:p>
        </w:tc>
        <w:tc>
          <w:tcPr>
            <w:tcW w:w="1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华文楷体" w:hAnsi="华文楷体" w:eastAsia="华文楷体" w:cs="华文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24</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电子式多功能电能表</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三相三线</w:t>
            </w: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 xml:space="preserve"> 395.50 </w:t>
            </w:r>
          </w:p>
        </w:tc>
        <w:tc>
          <w:tcPr>
            <w:tcW w:w="1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华文楷体" w:hAnsi="华文楷体" w:eastAsia="华文楷体" w:cs="华文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25</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控制电缆</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 xml:space="preserve"> 4,181.00 </w:t>
            </w:r>
          </w:p>
        </w:tc>
        <w:tc>
          <w:tcPr>
            <w:tcW w:w="1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华文楷体" w:hAnsi="华文楷体" w:eastAsia="华文楷体" w:cs="华文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26</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电力电缆</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 xml:space="preserve"> 135,600.00 </w:t>
            </w:r>
          </w:p>
        </w:tc>
        <w:tc>
          <w:tcPr>
            <w:tcW w:w="1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华文楷体" w:hAnsi="华文楷体" w:eastAsia="华文楷体" w:cs="华文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27</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机械锁</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 xml:space="preserve"> 118.65 </w:t>
            </w:r>
          </w:p>
        </w:tc>
        <w:tc>
          <w:tcPr>
            <w:tcW w:w="1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华文楷体" w:hAnsi="华文楷体" w:eastAsia="华文楷体" w:cs="华文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28</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吾祠煤矿35KV供电项目线路工程</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2010年</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 xml:space="preserve"> 3,777,400.00 </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工程地点位于漳平市新桥镇、灵地乡、吾祠乡，工程范围为：吾祠煤矿35KV供电项目线路工程I、Ⅱ回路施工。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29</w:t>
            </w:r>
          </w:p>
        </w:tc>
        <w:tc>
          <w:tcPr>
            <w:tcW w:w="15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吾祠煤矿35KV供电线路走廊征地青赔工程</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铁塔</w:t>
            </w: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1</w:t>
            </w:r>
          </w:p>
        </w:tc>
        <w:tc>
          <w:tcPr>
            <w:tcW w:w="5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2011年</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 xml:space="preserve"> 99,712.30 </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设计长度24.1公里，其中架线杆安全宽度距离为15.2米的路程有16公里，架线杆俺去宽度距离为5.2米的路程有8.1公里。全程需挖杆位洞和拉线洞计有279个，铁塔6座（每座征地150平方米）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15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青赔工程</w:t>
            </w: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5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 xml:space="preserve"> 1,234,305.60 </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合        计</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华文楷体" w:hAnsi="华文楷体" w:eastAsia="华文楷体" w:cs="华文楷体"/>
                <w:i w:val="0"/>
                <w:color w:val="000000"/>
                <w:sz w:val="20"/>
                <w:szCs w:val="20"/>
                <w:u w:val="none"/>
              </w:rPr>
            </w:pP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华文楷体" w:hAnsi="华文楷体" w:eastAsia="华文楷体" w:cs="华文楷体"/>
                <w:i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楷体" w:hAnsi="华文楷体" w:eastAsia="华文楷体" w:cs="华文楷体"/>
                <w:i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29</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华文楷体" w:hAnsi="华文楷体" w:eastAsia="华文楷体" w:cs="华文楷体"/>
                <w:i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华文楷体" w:hAnsi="华文楷体" w:eastAsia="华文楷体" w:cs="华文楷体"/>
                <w:i w:val="0"/>
                <w:color w:val="000000"/>
                <w:sz w:val="20"/>
                <w:szCs w:val="20"/>
                <w:u w:val="none"/>
              </w:rPr>
            </w:pPr>
            <w:r>
              <w:rPr>
                <w:rFonts w:hint="default" w:ascii="华文楷体" w:hAnsi="华文楷体" w:eastAsia="华文楷体" w:cs="华文楷体"/>
                <w:i w:val="0"/>
                <w:color w:val="000000"/>
                <w:kern w:val="0"/>
                <w:sz w:val="20"/>
                <w:szCs w:val="20"/>
                <w:u w:val="none"/>
                <w:lang w:val="en-US" w:eastAsia="zh-CN" w:bidi="ar"/>
              </w:rPr>
              <w:t xml:space="preserve"> 7,148,921.90 </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华文楷体" w:hAnsi="华文楷体" w:eastAsia="华文楷体" w:cs="华文楷体"/>
                <w:i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28"/>
          <w:szCs w:val="28"/>
          <w:lang w:eastAsia="zh-CN"/>
        </w:rPr>
      </w:pPr>
    </w:p>
    <w:p>
      <w:pPr>
        <w:rPr>
          <w:rFonts w:hint="eastAsia" w:ascii="宋体" w:hAnsi="宋体" w:eastAsia="宋体" w:cs="宋体"/>
          <w:sz w:val="30"/>
          <w:szCs w:val="30"/>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96FA0"/>
    <w:rsid w:val="01746C6F"/>
    <w:rsid w:val="05C7418E"/>
    <w:rsid w:val="0BBA50E8"/>
    <w:rsid w:val="10B369C3"/>
    <w:rsid w:val="146C4CE8"/>
    <w:rsid w:val="161F7F91"/>
    <w:rsid w:val="1B210E79"/>
    <w:rsid w:val="23CA06D3"/>
    <w:rsid w:val="254641E8"/>
    <w:rsid w:val="26A3325E"/>
    <w:rsid w:val="2ACD1413"/>
    <w:rsid w:val="324E79DE"/>
    <w:rsid w:val="36B96EFF"/>
    <w:rsid w:val="37971752"/>
    <w:rsid w:val="383E2700"/>
    <w:rsid w:val="3A416AD8"/>
    <w:rsid w:val="3C0847B1"/>
    <w:rsid w:val="3EC33FEF"/>
    <w:rsid w:val="3FD026D7"/>
    <w:rsid w:val="41C74D90"/>
    <w:rsid w:val="43D06910"/>
    <w:rsid w:val="45496FA0"/>
    <w:rsid w:val="478D718A"/>
    <w:rsid w:val="4E9A07BE"/>
    <w:rsid w:val="558E2481"/>
    <w:rsid w:val="59636B71"/>
    <w:rsid w:val="62B03B31"/>
    <w:rsid w:val="65B42DAE"/>
    <w:rsid w:val="70D56501"/>
    <w:rsid w:val="71670264"/>
    <w:rsid w:val="7E9E5B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Normal Indent"/>
    <w:basedOn w:val="1"/>
    <w:next w:val="1"/>
    <w:qFormat/>
    <w:uiPriority w:val="0"/>
    <w:pPr>
      <w:ind w:firstLine="420"/>
    </w:pPr>
    <w:rPr>
      <w:kern w:val="2"/>
      <w:sz w:val="21"/>
    </w:r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1409</Words>
  <Characters>1467</Characters>
  <Lines>0</Lines>
  <Paragraphs>0</Paragraphs>
  <TotalTime>21</TotalTime>
  <ScaleCrop>false</ScaleCrop>
  <LinksUpToDate>false</LinksUpToDate>
  <CharactersWithSpaces>1835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2024-11-04T01:12:00Z</dcterms:created>
  <dc:creator>吴杰龙</dc:creator>
  <cp:lastModifiedBy>dell-01</cp:lastModifiedBy>
  <dcterms:modified xsi:type="dcterms:W3CDTF">2024-11-12T07:20:42Z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DB9CFEFE2E434BCEA100F839E17D1316_13</vt:lpwstr>
  </property>
</Properties>
</file>