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DA" w:rsidRDefault="00A5404C" w:rsidP="00B44F9A">
      <w:pPr>
        <w:pStyle w:val="1"/>
        <w:snapToGrid w:val="0"/>
        <w:spacing w:before="0" w:after="0" w:line="54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关于修订《所出资企业资产租赁和经营业务承包管理工作指引》部分条款的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情况说明</w:t>
      </w:r>
    </w:p>
    <w:p w:rsidR="002056DA" w:rsidRDefault="002056DA">
      <w:pPr>
        <w:pStyle w:val="a3"/>
        <w:spacing w:line="5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2056DA" w:rsidRDefault="00A5404C">
      <w:pPr>
        <w:pStyle w:val="1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一、修订背景</w:t>
      </w:r>
    </w:p>
    <w:p w:rsidR="002056DA" w:rsidRDefault="00A5404C">
      <w:pPr>
        <w:pStyle w:val="1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我委通过</w:t>
      </w:r>
      <w:r>
        <w:rPr>
          <w:rFonts w:ascii="仿宋_GB2312" w:eastAsia="仿宋_GB2312" w:hint="eastAsia"/>
          <w:sz w:val="32"/>
          <w:szCs w:val="32"/>
        </w:rPr>
        <w:t>深入</w:t>
      </w:r>
      <w:r>
        <w:rPr>
          <w:rFonts w:ascii="仿宋_GB2312" w:eastAsia="仿宋_GB2312" w:hint="eastAsia"/>
          <w:sz w:val="32"/>
          <w:szCs w:val="32"/>
        </w:rPr>
        <w:t>所出资</w:t>
      </w:r>
      <w:r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及其权属企业</w:t>
      </w:r>
      <w:r>
        <w:rPr>
          <w:rFonts w:ascii="仿宋_GB2312" w:eastAsia="仿宋_GB2312" w:hint="eastAsia"/>
          <w:sz w:val="32"/>
          <w:szCs w:val="32"/>
        </w:rPr>
        <w:t>一线调查研究</w:t>
      </w:r>
      <w:r>
        <w:rPr>
          <w:rFonts w:ascii="仿宋_GB2312" w:eastAsia="仿宋_GB2312" w:hint="eastAsia"/>
          <w:sz w:val="32"/>
          <w:szCs w:val="32"/>
        </w:rPr>
        <w:t>反映</w:t>
      </w:r>
      <w:r w:rsidR="00B44F9A">
        <w:rPr>
          <w:rFonts w:ascii="仿宋_GB2312" w:eastAsia="仿宋_GB2312" w:hint="eastAsia"/>
          <w:sz w:val="32"/>
          <w:szCs w:val="32"/>
        </w:rPr>
        <w:t>出</w:t>
      </w:r>
      <w:r>
        <w:rPr>
          <w:rFonts w:ascii="仿宋_GB2312" w:eastAsia="仿宋_GB2312" w:hint="eastAsia"/>
          <w:sz w:val="32"/>
          <w:szCs w:val="32"/>
        </w:rPr>
        <w:t>《所出资企业资产租赁和经营业务承包管理工作指引》（闽国资产权〔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以下简称《指引》）部分条款已经不能适应新形势下企业发展的需求。为进一步规范所出资企业</w:t>
      </w:r>
      <w:r>
        <w:rPr>
          <w:rFonts w:ascii="仿宋_GB2312" w:eastAsia="仿宋_GB2312" w:hint="eastAsia"/>
          <w:sz w:val="32"/>
          <w:szCs w:val="32"/>
        </w:rPr>
        <w:t>的资产租赁和经营业务承包行为，提高国有资产运营效益，防止国有资产流失，确保国有资产保值增值</w:t>
      </w:r>
      <w:r w:rsidR="00B44F9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就《指引》修订问题，全面征求了各所出资企业</w:t>
      </w:r>
      <w:r w:rsidR="00B44F9A">
        <w:rPr>
          <w:rFonts w:ascii="仿宋_GB2312" w:eastAsia="仿宋_GB2312" w:hint="eastAsia"/>
          <w:sz w:val="32"/>
          <w:szCs w:val="32"/>
        </w:rPr>
        <w:t>和委机关部分业务处室的</w:t>
      </w:r>
      <w:r>
        <w:rPr>
          <w:rFonts w:ascii="仿宋_GB2312" w:eastAsia="仿宋_GB2312" w:hint="eastAsia"/>
          <w:sz w:val="32"/>
          <w:szCs w:val="32"/>
        </w:rPr>
        <w:t>意见建议</w:t>
      </w:r>
      <w:r w:rsidR="00B44F9A">
        <w:rPr>
          <w:rFonts w:ascii="仿宋_GB2312" w:eastAsia="仿宋_GB2312" w:hint="eastAsia"/>
          <w:sz w:val="32"/>
          <w:szCs w:val="32"/>
        </w:rPr>
        <w:t>，决定</w:t>
      </w:r>
      <w:r>
        <w:rPr>
          <w:rFonts w:ascii="仿宋_GB2312" w:eastAsia="仿宋_GB2312" w:hint="eastAsia"/>
          <w:sz w:val="32"/>
          <w:szCs w:val="32"/>
        </w:rPr>
        <w:t>对《指引》部分条款进行修订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056DA" w:rsidRDefault="00A5404C">
      <w:pPr>
        <w:pStyle w:val="10"/>
        <w:spacing w:line="540" w:lineRule="exact"/>
        <w:ind w:firstLineChars="200" w:firstLine="640"/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二、修订</w:t>
      </w:r>
      <w: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  <w:t>《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指导</w:t>
      </w:r>
      <w: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  <w:t>》必要性</w:t>
      </w:r>
    </w:p>
    <w:p w:rsidR="002056DA" w:rsidRDefault="00A5404C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Arial" w:cs="Arial"/>
          <w:color w:val="19191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根据当前租赁市场的需求与变化，原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个别条款不能满足</w:t>
      </w:r>
      <w:r w:rsidR="00B44F9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市场的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需求，不利于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资产管理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、无法满足</w:t>
      </w:r>
      <w:r w:rsidR="00B44F9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租赁各方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需求，影响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国有资产运营效益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。修订后的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指导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给了</w:t>
      </w:r>
      <w:r w:rsidR="00B44F9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租赁各方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更多的自主权，各所出资企业可根据实际情况进一步细化条款，更方便企业对资产的管理，简化租赁流程，提高资产处置效率，也给承租方带来了更便捷租赁通道、更长租赁期限可供选择。</w:t>
      </w:r>
    </w:p>
    <w:p w:rsidR="002056DA" w:rsidRDefault="00A5404C">
      <w:pPr>
        <w:pStyle w:val="10"/>
        <w:spacing w:line="540" w:lineRule="exact"/>
        <w:ind w:firstLineChars="200" w:firstLine="640"/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</w:rPr>
        <w:t>三、修订内容</w:t>
      </w:r>
    </w:p>
    <w:p w:rsidR="002056DA" w:rsidRDefault="00A5404C">
      <w:pPr>
        <w:pStyle w:val="10"/>
        <w:widowControl/>
        <w:shd w:val="clear" w:color="auto" w:fill="FFFFFF"/>
        <w:spacing w:line="540" w:lineRule="exact"/>
        <w:ind w:firstLineChars="200" w:firstLine="643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一、第四条：</w:t>
      </w:r>
      <w:r>
        <w:rPr>
          <w:rFonts w:ascii="仿宋_GB2312" w:eastAsia="仿宋_GB2312" w:hAnsi="仿宋_GB2312" w:cs="仿宋_GB2312" w:hint="eastAsia"/>
          <w:sz w:val="32"/>
          <w:szCs w:val="32"/>
        </w:rPr>
        <w:t>将“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（三）由政府批准企业承办的产业园区对外招商引资项目（企业自有资产除外）的。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修改为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（三）由政府批准企业承办的产业园区对外招商引资项目的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056DA" w:rsidRDefault="00A5404C">
      <w:pPr>
        <w:pStyle w:val="10"/>
        <w:widowControl/>
        <w:shd w:val="clear" w:color="auto" w:fill="FFFFFF"/>
        <w:spacing w:line="540" w:lineRule="exact"/>
        <w:ind w:firstLineChars="200" w:firstLine="643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二、第十四条：</w:t>
      </w:r>
      <w:r>
        <w:rPr>
          <w:rFonts w:ascii="仿宋_GB2312" w:eastAsia="仿宋_GB2312" w:hAnsi="仿宋_GB2312" w:cs="仿宋_GB2312" w:hint="eastAsia"/>
          <w:sz w:val="32"/>
          <w:szCs w:val="32"/>
        </w:rPr>
        <w:t>将“租赁（承包）期限原则上不超过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经测算、评估，对投资金额大、回收期长的租赁（承包）项目，租赁（承包）期限可适当延长，但最长不超过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修改为</w:t>
      </w:r>
      <w:r>
        <w:rPr>
          <w:rFonts w:ascii="仿宋_GB2312" w:eastAsia="仿宋_GB2312" w:hAnsi="仿宋_GB2312" w:cs="仿宋_GB2312" w:hint="eastAsia"/>
          <w:sz w:val="32"/>
          <w:szCs w:val="32"/>
        </w:rPr>
        <w:t>“租赁（承包）期限原则上不超过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经测算、评估，对投资金额大、回收期长的租赁（承包）项目，租赁（承包）期限可适当延长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原则上不超过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年；租赁（承包）期限届满后，确需续签的，可按年度续签，但租赁期限合计最</w:t>
      </w:r>
      <w:r>
        <w:rPr>
          <w:rFonts w:ascii="仿宋_GB2312" w:eastAsia="仿宋_GB2312" w:hAnsi="仿宋_GB2312" w:cs="仿宋_GB2312" w:hint="eastAsia"/>
          <w:sz w:val="32"/>
          <w:szCs w:val="32"/>
        </w:rPr>
        <w:t>长不超过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056DA" w:rsidRDefault="00A5404C">
      <w:pPr>
        <w:spacing w:line="5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191919"/>
          <w:sz w:val="32"/>
          <w:szCs w:val="32"/>
        </w:rPr>
        <w:t>三、第二十条：</w:t>
      </w:r>
      <w:r>
        <w:rPr>
          <w:rFonts w:ascii="仿宋_GB2312" w:eastAsia="仿宋_GB2312" w:hAnsi="仿宋_GB2312" w:cs="仿宋_GB2312" w:hint="eastAsia"/>
          <w:sz w:val="32"/>
          <w:szCs w:val="32"/>
        </w:rPr>
        <w:t>将“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降低租赁（承包）底价或变更承租（承包）条件后重新披露信息的，披露时间不得少于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修改为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降低租赁（承包）底价或变更承租（承包）条件后重新披露信息的，披露时间不得少于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191919"/>
          <w:sz w:val="32"/>
          <w:szCs w:val="32"/>
        </w:rPr>
        <w:t>个工作日</w:t>
      </w:r>
      <w:r>
        <w:rPr>
          <w:rFonts w:ascii="仿宋_GB2312" w:eastAsia="仿宋_GB2312" w:hAnsi="仿宋_GB2312" w:cs="仿宋_GB2312" w:hint="eastAsia"/>
          <w:sz w:val="32"/>
          <w:szCs w:val="32"/>
        </w:rPr>
        <w:t>”。</w:t>
      </w:r>
    </w:p>
    <w:p w:rsidR="002056DA" w:rsidRDefault="00A5404C">
      <w:pPr>
        <w:spacing w:line="540" w:lineRule="exact"/>
        <w:ind w:firstLineChars="200" w:firstLine="643"/>
        <w:rPr>
          <w:rFonts w:ascii="楷体" w:eastAsia="楷体" w:hAnsi="楷体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191919"/>
          <w:kern w:val="0"/>
          <w:sz w:val="32"/>
          <w:szCs w:val="32"/>
        </w:rPr>
        <w:t>四、第二十五条：</w:t>
      </w:r>
      <w:r>
        <w:rPr>
          <w:rFonts w:ascii="仿宋_GB2312" w:eastAsia="仿宋_GB2312" w:hAnsi="仿宋_GB2312" w:cs="仿宋_GB2312" w:hint="eastAsia"/>
          <w:sz w:val="32"/>
          <w:szCs w:val="32"/>
        </w:rPr>
        <w:t>将“</w:t>
      </w:r>
      <w:r>
        <w:rPr>
          <w:rFonts w:ascii="仿宋_GB2312" w:eastAsia="仿宋_GB2312" w:hAnsi="仿宋_GB2312" w:cs="仿宋_GB2312" w:hint="eastAsia"/>
          <w:color w:val="191919"/>
          <w:kern w:val="0"/>
          <w:sz w:val="32"/>
          <w:szCs w:val="32"/>
        </w:rPr>
        <w:t>（一）行政事业单位、国有独资企业、国有全资企业、国有独资公司之间的租赁（承包）行为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修改为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191919"/>
          <w:kern w:val="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行政事业单位、</w:t>
      </w:r>
      <w:r>
        <w:rPr>
          <w:rFonts w:ascii="仿宋_GB2312" w:eastAsia="仿宋_GB2312"/>
          <w:sz w:val="32"/>
          <w:szCs w:val="32"/>
        </w:rPr>
        <w:t>国有独资企业、国有全资企业、国有独资公司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国有控股企业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国有实际控制企业之间的租赁行为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2056DA" w:rsidRDefault="00A5404C">
      <w:pPr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五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第二十六条：</w:t>
      </w:r>
      <w:r>
        <w:rPr>
          <w:rFonts w:ascii="仿宋_GB2312" w:eastAsia="仿宋_GB2312" w:hAnsi="仿宋_GB2312" w:cs="仿宋_GB2312" w:hint="eastAsia"/>
          <w:sz w:val="32"/>
          <w:szCs w:val="32"/>
        </w:rPr>
        <w:t>将“租赁（承包）合同应在结果公示结束次日起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个工作日内签订</w:t>
      </w:r>
      <w:r>
        <w:rPr>
          <w:rFonts w:ascii="仿宋_GB2312" w:eastAsia="仿宋_GB2312" w:hAnsi="仿宋" w:hint="eastAsia"/>
          <w:sz w:val="32"/>
          <w:szCs w:val="32"/>
        </w:rPr>
        <w:t>”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修改为</w:t>
      </w:r>
      <w:r>
        <w:rPr>
          <w:rFonts w:ascii="仿宋_GB2312" w:eastAsia="仿宋_GB2312" w:hAnsi="仿宋" w:hint="eastAsia"/>
          <w:sz w:val="32"/>
          <w:szCs w:val="32"/>
        </w:rPr>
        <w:t>“租赁（承包）合同应在结果公示结束次日起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个工作日内签订”。</w:t>
      </w:r>
    </w:p>
    <w:p w:rsidR="002056DA" w:rsidRDefault="00A5404C">
      <w:pPr>
        <w:pStyle w:val="10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六、第十五条：</w:t>
      </w:r>
      <w:r>
        <w:rPr>
          <w:rFonts w:ascii="仿宋_GB2312" w:eastAsia="仿宋_GB2312" w:hint="eastAsia"/>
          <w:sz w:val="32"/>
          <w:szCs w:val="32"/>
        </w:rPr>
        <w:t>将闽国资函产权</w:t>
      </w:r>
      <w:r>
        <w:rPr>
          <w:rFonts w:ascii="仿宋_GB2312" w:eastAsia="仿宋_GB2312" w:hint="eastAsia"/>
          <w:sz w:val="32"/>
          <w:szCs w:val="32"/>
        </w:rPr>
        <w:t>闽〔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650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文修订内容“单项资产首年租赁底价或单项经营业务首年承包底价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万元以下的项目，可由企业自行组织交易。若企业自行组织需委托中介机构进行时，应选择依法设立的产权交易机构、国有拍卖或国有招标机构组织交易”</w:t>
      </w:r>
      <w:r>
        <w:rPr>
          <w:rFonts w:ascii="仿宋_GB2312" w:eastAsia="仿宋_GB2312" w:hint="eastAsia"/>
          <w:b/>
          <w:bCs/>
          <w:sz w:val="32"/>
          <w:szCs w:val="32"/>
        </w:rPr>
        <w:t>修改为</w:t>
      </w:r>
      <w:r>
        <w:rPr>
          <w:rFonts w:ascii="仿宋_GB2312" w:eastAsia="仿宋_GB2312" w:hint="eastAsia"/>
          <w:sz w:val="32"/>
          <w:szCs w:val="32"/>
        </w:rPr>
        <w:t>“单项资产首年租赁底价或单项经营业务首年承包底价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万元以下的项目，可由企业自行组织</w:t>
      </w:r>
      <w:r>
        <w:rPr>
          <w:rFonts w:ascii="仿宋_GB2312" w:eastAsia="仿宋_GB2312" w:hint="eastAsia"/>
          <w:sz w:val="32"/>
          <w:szCs w:val="32"/>
        </w:rPr>
        <w:lastRenderedPageBreak/>
        <w:t>交易。若企业自行组织需委托中介机构进行时，</w:t>
      </w:r>
      <w:r>
        <w:rPr>
          <w:rFonts w:ascii="仿宋_GB2312" w:eastAsia="仿宋_GB2312" w:hint="eastAsia"/>
          <w:sz w:val="32"/>
          <w:szCs w:val="32"/>
        </w:rPr>
        <w:t>应选择依法设立的产权交易机构公开进行”，一并修订执行。</w:t>
      </w:r>
    </w:p>
    <w:sectPr w:rsidR="002056DA" w:rsidSect="002056DA">
      <w:footerReference w:type="even" r:id="rId6"/>
      <w:footerReference w:type="default" r:id="rId7"/>
      <w:pgSz w:w="11906" w:h="16838"/>
      <w:pgMar w:top="1985" w:right="1474" w:bottom="1701" w:left="1474" w:header="851" w:footer="1418" w:gutter="0"/>
      <w:pgNumType w:fmt="numberInDash"/>
      <w:cols w:space="720"/>
      <w:docGrid w:type="lines" w:linePitch="623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4C" w:rsidRDefault="00A5404C" w:rsidP="002056DA">
      <w:r>
        <w:separator/>
      </w:r>
    </w:p>
  </w:endnote>
  <w:endnote w:type="continuationSeparator" w:id="1">
    <w:p w:rsidR="00A5404C" w:rsidRDefault="00A5404C" w:rsidP="00205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DA" w:rsidRDefault="002056DA">
    <w:pPr>
      <w:pStyle w:val="a5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 w:rsidR="00A5404C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A5404C">
      <w:rPr>
        <w:rStyle w:val="a8"/>
        <w:rFonts w:ascii="宋体" w:hAnsi="宋体"/>
        <w:sz w:val="28"/>
        <w:szCs w:val="28"/>
      </w:rPr>
      <w:t>- 2 -</w:t>
    </w:r>
    <w:r>
      <w:rPr>
        <w:rStyle w:val="a8"/>
        <w:rFonts w:ascii="宋体" w:hAnsi="宋体"/>
        <w:sz w:val="28"/>
        <w:szCs w:val="28"/>
      </w:rPr>
      <w:fldChar w:fldCharType="end"/>
    </w:r>
  </w:p>
  <w:p w:rsidR="002056DA" w:rsidRDefault="002056DA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DA" w:rsidRDefault="002056DA">
    <w:pPr>
      <w:pStyle w:val="a5"/>
      <w:jc w:val="right"/>
      <w:rPr>
        <w:rFonts w:ascii="宋体" w:hAns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 w:rsidR="00A5404C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B44F9A">
      <w:rPr>
        <w:rStyle w:val="a8"/>
        <w:rFonts w:ascii="宋体" w:hAnsi="宋体"/>
        <w:noProof/>
        <w:sz w:val="28"/>
        <w:szCs w:val="28"/>
      </w:rPr>
      <w:t>- 1 -</w:t>
    </w:r>
    <w:r>
      <w:rPr>
        <w:rStyle w:val="a8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4C" w:rsidRDefault="00A5404C" w:rsidP="002056DA">
      <w:r>
        <w:separator/>
      </w:r>
    </w:p>
  </w:footnote>
  <w:footnote w:type="continuationSeparator" w:id="1">
    <w:p w:rsidR="00A5404C" w:rsidRDefault="00A5404C" w:rsidP="00205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ZlNzYyZDI3OGRhMjMxYmY2YzA5NWY2MmNkMTdiODQifQ=="/>
  </w:docVars>
  <w:rsids>
    <w:rsidRoot w:val="EE974C6D"/>
    <w:rsid w:val="D68C49A5"/>
    <w:rsid w:val="EE974C6D"/>
    <w:rsid w:val="EECF76DA"/>
    <w:rsid w:val="FF3F169F"/>
    <w:rsid w:val="00051A4A"/>
    <w:rsid w:val="00091AE4"/>
    <w:rsid w:val="000A7460"/>
    <w:rsid w:val="000D0005"/>
    <w:rsid w:val="00171B2F"/>
    <w:rsid w:val="001E7514"/>
    <w:rsid w:val="00205454"/>
    <w:rsid w:val="002056DA"/>
    <w:rsid w:val="002357EF"/>
    <w:rsid w:val="00260CBF"/>
    <w:rsid w:val="00264E92"/>
    <w:rsid w:val="002A161D"/>
    <w:rsid w:val="002D3204"/>
    <w:rsid w:val="00302005"/>
    <w:rsid w:val="003344BC"/>
    <w:rsid w:val="003A2C8A"/>
    <w:rsid w:val="003B6072"/>
    <w:rsid w:val="003D56BD"/>
    <w:rsid w:val="003F3D91"/>
    <w:rsid w:val="00404DAD"/>
    <w:rsid w:val="00405B26"/>
    <w:rsid w:val="00447C84"/>
    <w:rsid w:val="00474107"/>
    <w:rsid w:val="00493E78"/>
    <w:rsid w:val="004B781D"/>
    <w:rsid w:val="005157C4"/>
    <w:rsid w:val="00532989"/>
    <w:rsid w:val="00553299"/>
    <w:rsid w:val="00561895"/>
    <w:rsid w:val="0057743C"/>
    <w:rsid w:val="0059040F"/>
    <w:rsid w:val="00593C1B"/>
    <w:rsid w:val="005D1B38"/>
    <w:rsid w:val="005F68F6"/>
    <w:rsid w:val="00637554"/>
    <w:rsid w:val="00654F0B"/>
    <w:rsid w:val="0065552E"/>
    <w:rsid w:val="006625D5"/>
    <w:rsid w:val="0068475B"/>
    <w:rsid w:val="00695782"/>
    <w:rsid w:val="00695E17"/>
    <w:rsid w:val="006A2171"/>
    <w:rsid w:val="006C7C74"/>
    <w:rsid w:val="006D0E8C"/>
    <w:rsid w:val="00707029"/>
    <w:rsid w:val="00723059"/>
    <w:rsid w:val="00755B81"/>
    <w:rsid w:val="00766506"/>
    <w:rsid w:val="007838A9"/>
    <w:rsid w:val="007E5848"/>
    <w:rsid w:val="007E7357"/>
    <w:rsid w:val="00844C54"/>
    <w:rsid w:val="0092114A"/>
    <w:rsid w:val="00967EC5"/>
    <w:rsid w:val="009735AE"/>
    <w:rsid w:val="00985CE1"/>
    <w:rsid w:val="009C2651"/>
    <w:rsid w:val="009E61D1"/>
    <w:rsid w:val="00A26872"/>
    <w:rsid w:val="00A31F66"/>
    <w:rsid w:val="00A42038"/>
    <w:rsid w:val="00A43EA0"/>
    <w:rsid w:val="00A45EBD"/>
    <w:rsid w:val="00A5404C"/>
    <w:rsid w:val="00A71A3B"/>
    <w:rsid w:val="00AD48C6"/>
    <w:rsid w:val="00AF5084"/>
    <w:rsid w:val="00B30681"/>
    <w:rsid w:val="00B33375"/>
    <w:rsid w:val="00B44F9A"/>
    <w:rsid w:val="00B75E75"/>
    <w:rsid w:val="00B777F4"/>
    <w:rsid w:val="00B8355C"/>
    <w:rsid w:val="00B92E9C"/>
    <w:rsid w:val="00B9700E"/>
    <w:rsid w:val="00BA16A7"/>
    <w:rsid w:val="00BC050D"/>
    <w:rsid w:val="00C061E0"/>
    <w:rsid w:val="00CB54EA"/>
    <w:rsid w:val="00CD0F0D"/>
    <w:rsid w:val="00CD328D"/>
    <w:rsid w:val="00D034FE"/>
    <w:rsid w:val="00D0674E"/>
    <w:rsid w:val="00D41071"/>
    <w:rsid w:val="00D517F1"/>
    <w:rsid w:val="00D751EB"/>
    <w:rsid w:val="00D81733"/>
    <w:rsid w:val="00D94F96"/>
    <w:rsid w:val="00DA0073"/>
    <w:rsid w:val="00E21F24"/>
    <w:rsid w:val="00E265EF"/>
    <w:rsid w:val="00E35C30"/>
    <w:rsid w:val="00E70B53"/>
    <w:rsid w:val="00EA2043"/>
    <w:rsid w:val="00EE5B9A"/>
    <w:rsid w:val="00F17C31"/>
    <w:rsid w:val="00F25557"/>
    <w:rsid w:val="00F32759"/>
    <w:rsid w:val="00F82EB2"/>
    <w:rsid w:val="00FD579E"/>
    <w:rsid w:val="00FE0FA0"/>
    <w:rsid w:val="1E32453D"/>
    <w:rsid w:val="1E9F7606"/>
    <w:rsid w:val="21B21CF5"/>
    <w:rsid w:val="240565BA"/>
    <w:rsid w:val="279F65A8"/>
    <w:rsid w:val="2BA94429"/>
    <w:rsid w:val="30BEE1BA"/>
    <w:rsid w:val="32CD6714"/>
    <w:rsid w:val="3EEB53E3"/>
    <w:rsid w:val="4C1F06B5"/>
    <w:rsid w:val="4CD3031C"/>
    <w:rsid w:val="68B91C4A"/>
    <w:rsid w:val="6CCF85CC"/>
    <w:rsid w:val="73D11985"/>
    <w:rsid w:val="746B5D51"/>
    <w:rsid w:val="7DF5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6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056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rsid w:val="002056DA"/>
    <w:pPr>
      <w:widowControl w:val="0"/>
      <w:spacing w:after="120"/>
      <w:jc w:val="both"/>
    </w:pPr>
    <w:rPr>
      <w:kern w:val="2"/>
      <w:sz w:val="21"/>
      <w:szCs w:val="24"/>
    </w:rPr>
  </w:style>
  <w:style w:type="paragraph" w:styleId="a4">
    <w:name w:val="Balloon Text"/>
    <w:basedOn w:val="a"/>
    <w:link w:val="Char"/>
    <w:rsid w:val="002056DA"/>
    <w:rPr>
      <w:sz w:val="18"/>
      <w:szCs w:val="18"/>
    </w:rPr>
  </w:style>
  <w:style w:type="paragraph" w:styleId="a5">
    <w:name w:val="footer"/>
    <w:basedOn w:val="a"/>
    <w:qFormat/>
    <w:rsid w:val="00205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20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056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2056DA"/>
  </w:style>
  <w:style w:type="paragraph" w:customStyle="1" w:styleId="10">
    <w:name w:val="1.正文"/>
    <w:basedOn w:val="a"/>
    <w:uiPriority w:val="99"/>
    <w:qFormat/>
    <w:rsid w:val="002056DA"/>
    <w:rPr>
      <w:rFonts w:ascii="Calibri"/>
      <w:szCs w:val="22"/>
    </w:rPr>
  </w:style>
  <w:style w:type="character" w:customStyle="1" w:styleId="GB2312">
    <w:name w:val="样式 仿宋_GB2312"/>
    <w:qFormat/>
    <w:rsid w:val="002056DA"/>
    <w:rPr>
      <w:rFonts w:ascii="仿宋_GB2312" w:eastAsia="仿宋_GB2312" w:hAnsi="仿宋_GB2312"/>
      <w:sz w:val="32"/>
    </w:rPr>
  </w:style>
  <w:style w:type="character" w:customStyle="1" w:styleId="Char0">
    <w:name w:val="页眉 Char"/>
    <w:basedOn w:val="a0"/>
    <w:link w:val="a6"/>
    <w:qFormat/>
    <w:rsid w:val="002056DA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56D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4"/>
    <w:qFormat/>
    <w:rsid w:val="002056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181</Words>
  <Characters>1036</Characters>
  <Application>Microsoft Office Word</Application>
  <DocSecurity>0</DocSecurity>
  <Lines>8</Lines>
  <Paragraphs>2</Paragraphs>
  <ScaleCrop>false</ScaleCrop>
  <Company>ITSK.com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涂锦建</dc:creator>
  <cp:lastModifiedBy>程敬华</cp:lastModifiedBy>
  <cp:revision>1</cp:revision>
  <cp:lastPrinted>2025-01-06T02:50:00Z</cp:lastPrinted>
  <dcterms:created xsi:type="dcterms:W3CDTF">2024-04-18T07:05:00Z</dcterms:created>
  <dcterms:modified xsi:type="dcterms:W3CDTF">2025-01-06T03:09:00Z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C391D7DD8F39485681784468F68AA05A_13</vt:lpwstr>
  </property>
</Properties>
</file>