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left"/>
        <w:rPr>
          <w:rFonts w:hint="eastAsia"/>
          <w:sz w:val="32"/>
          <w:szCs w:val="32"/>
          <w:lang w:val="en-US" w:eastAsia="zh-CN"/>
        </w:rPr>
      </w:pPr>
      <w:r>
        <w:rPr>
          <w:rFonts w:hint="eastAsia"/>
          <w:sz w:val="32"/>
          <w:szCs w:val="32"/>
          <w:lang w:val="en-US" w:eastAsia="zh-CN"/>
        </w:rPr>
        <w:t>附件2：</w:t>
      </w:r>
    </w:p>
    <w:p>
      <w:pPr>
        <w:spacing w:line="560" w:lineRule="exact"/>
        <w:ind w:right="160"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autoSpaceDE/>
        <w:autoSpaceDN/>
        <w:adjustRightInd/>
        <w:spacing w:line="40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pStyle w:val="2"/>
        <w:rPr>
          <w:rFonts w:hint="eastAsia"/>
        </w:rPr>
      </w:pPr>
    </w:p>
    <w:p>
      <w:pPr>
        <w:pStyle w:val="2"/>
        <w:spacing w:line="400" w:lineRule="exact"/>
        <w:ind w:firstLine="560" w:firstLineChars="200"/>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w:t>
      </w:r>
    </w:p>
    <w:p>
      <w:pPr>
        <w:autoSpaceDE/>
        <w:autoSpaceDN/>
        <w:adjustRightInd/>
        <w:spacing w:line="400" w:lineRule="exac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身份证号码</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/统一社会信用代码</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联系地址：</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pStyle w:val="3"/>
        <w:keepNext w:val="0"/>
        <w:keepLines w:val="0"/>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不得用于经营有游戏房、车辆维修、易燃易爆等危险性商品的经营和服务、禽畜买卖宰杀以及有噪音、污染等项目。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426"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4"/>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火灾事故、</w:t>
      </w:r>
      <w:r>
        <w:rPr>
          <w:rFonts w:hint="eastAsia" w:ascii="仿宋_GB2312" w:hAnsi="仿宋_GB2312" w:eastAsia="仿宋_GB2312" w:cs="仿宋_GB2312"/>
          <w:bCs/>
          <w:color w:val="auto"/>
          <w:sz w:val="28"/>
          <w:szCs w:val="28"/>
          <w:highlight w:val="none"/>
        </w:rPr>
        <w:t>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在乙方承租甲方房产后，乙方</w:t>
      </w:r>
      <w:r>
        <w:rPr>
          <w:rFonts w:hint="eastAsia" w:ascii="仿宋_GB2312" w:hAnsi="仿宋_GB2312" w:eastAsia="仿宋_GB2312" w:cs="仿宋_GB2312"/>
          <w:bCs/>
          <w:color w:val="000000" w:themeColor="text1"/>
          <w:sz w:val="28"/>
          <w:szCs w:val="28"/>
          <w:highlight w:val="none"/>
          <w:lang w:val="en-US" w:eastAsia="zh-CN" w:bidi="en-US"/>
          <w14:textFill>
            <w14:solidFill>
              <w14:schemeClr w14:val="tx1"/>
            </w14:solidFill>
          </w14:textFill>
        </w:rPr>
        <w:t>以本租赁物为注册地址并作为主要经营场所</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出资成立公司、合伙企业或者个体工商户的，</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该公司、合伙企业或者个体工商户应作为共同承租人，对本合同项下乙方的全部义务承担连带责任</w:t>
      </w:r>
      <w:r>
        <w:rPr>
          <w:rFonts w:hint="eastAsia" w:ascii="仿宋_GB2312" w:hAnsi="仿宋_GB2312" w:eastAsia="仿宋_GB2312" w:cs="仿宋_GB2312"/>
          <w:b w:val="0"/>
          <w:bCs/>
          <w:color w:val="000000" w:themeColor="text1"/>
          <w:sz w:val="28"/>
          <w:szCs w:val="28"/>
          <w:highlight w:val="none"/>
          <w:lang w:val="en-US" w:eastAsia="zh-CN" w:bidi="en-US"/>
          <w14:textFill>
            <w14:solidFill>
              <w14:schemeClr w14:val="tx1"/>
            </w14:solidFill>
          </w14:textFill>
        </w:rPr>
        <w:t>，具体以各方另行签订的补充协议约定为准</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000000" w:themeColor="text1"/>
          <w:sz w:val="28"/>
          <w:szCs w:val="28"/>
          <w:highlight w:val="none"/>
          <w:lang w:bidi="en-US"/>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乙方的股东或合伙人</w:t>
      </w:r>
      <w:r>
        <w:rPr>
          <w:rFonts w:hint="eastAsia" w:ascii="仿宋_GB2312" w:hAnsi="仿宋_GB2312" w:eastAsia="仿宋_GB2312" w:cs="仿宋_GB2312"/>
          <w:b w:val="0"/>
          <w:bCs/>
          <w:color w:val="000000" w:themeColor="text1"/>
          <w:sz w:val="28"/>
          <w:szCs w:val="28"/>
          <w:highlight w:val="none"/>
          <w:u w:val="single"/>
          <w:lang w:val="en-US" w:eastAsia="zh-CN" w:bidi="en-US"/>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000000" w:themeColor="text1"/>
          <w:sz w:val="28"/>
          <w:szCs w:val="28"/>
          <w:highlight w:val="none"/>
          <w:lang w:val="en-US"/>
          <w14:textFill>
            <w14:solidFill>
              <w14:schemeClr w14:val="tx1"/>
            </w14:solidFill>
          </w14:textFill>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乙方应支付逾期违约金，</w:t>
      </w:r>
      <w:r>
        <w:rPr>
          <w:rFonts w:hint="eastAsia" w:ascii="仿宋_GB2312" w:hAnsi="仿宋_GB2312" w:eastAsia="仿宋_GB2312" w:cs="仿宋_GB2312"/>
          <w:bCs w:val="0"/>
          <w:color w:val="000000" w:themeColor="text1"/>
          <w:sz w:val="28"/>
          <w:szCs w:val="28"/>
          <w:highlight w:val="none"/>
          <w:lang w:val="en-US" w:eastAsia="zh-CN"/>
          <w14:textFill>
            <w14:solidFill>
              <w14:schemeClr w14:val="tx1"/>
            </w14:solidFill>
          </w14:textFill>
        </w:rPr>
        <w:t>以所欠费用总额为基数，</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按当年1月20日全国银行同业拆借中心公布的一年期贷款市场报价利率（LPR）的四倍计算。逾期违约金从履约保证金中扣除，当扣除金额达到履约保证金三分之一时，甲方通知乙方缴交，不及时缴交的视情况解除合同，并提起诉讼，由此产生的律师费、诉讼费、保全费等一切费用由乙方承担</w:t>
      </w:r>
      <w:r>
        <w:rPr>
          <w:rFonts w:hint="eastAsia" w:ascii="仿宋_GB2312" w:hAnsi="仿宋_GB2312" w:eastAsia="仿宋_GB2312" w:cs="仿宋_GB2312"/>
          <w:bCs/>
          <w:color w:val="000000" w:themeColor="text1"/>
          <w:sz w:val="28"/>
          <w:szCs w:val="28"/>
          <w:highlight w:val="none"/>
          <w:lang w:val="en-US"/>
          <w14:textFill>
            <w14:solidFill>
              <w14:schemeClr w14:val="tx1"/>
            </w14:solidFill>
          </w14:textFill>
        </w:rPr>
        <w:t>。经甲方书面催告后五天内，乙方仍未交清逾期款项和违约金的，甲方有权立即解除本合同，乙方应在五天内腾房交还给甲方，并追究乙方的违约责任和赔偿责任。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000000" w:themeColor="text1"/>
          <w:sz w:val="28"/>
          <w:szCs w:val="28"/>
          <w:highlight w:val="none"/>
          <w:lang w:bidi="zh-TW"/>
          <w14:textFill>
            <w14:solidFill>
              <w14:schemeClr w14:val="tx1"/>
            </w14:solidFill>
          </w14:textFill>
        </w:rPr>
        <w:t>第三十</w:t>
      </w:r>
      <w:r>
        <w:rPr>
          <w:rFonts w:hint="eastAsia" w:ascii="仿宋_GB2312" w:hAnsi="仿宋_GB2312" w:eastAsia="仿宋_GB2312" w:cs="仿宋_GB2312"/>
          <w:b/>
          <w:bCs w:val="0"/>
          <w:color w:val="000000" w:themeColor="text1"/>
          <w:sz w:val="28"/>
          <w:szCs w:val="28"/>
          <w:highlight w:val="none"/>
          <w:lang w:eastAsia="zh-CN" w:bidi="zh-TW"/>
          <w14:textFill>
            <w14:solidFill>
              <w14:schemeClr w14:val="tx1"/>
            </w14:solidFill>
          </w14:textFill>
        </w:rPr>
        <w:t>八</w:t>
      </w:r>
      <w:r>
        <w:rPr>
          <w:rFonts w:hint="eastAsia" w:ascii="仿宋_GB2312" w:hAnsi="仿宋_GB2312" w:eastAsia="仿宋_GB2312" w:cs="仿宋_GB2312"/>
          <w:b/>
          <w:bCs w:val="0"/>
          <w:color w:val="000000" w:themeColor="text1"/>
          <w:sz w:val="28"/>
          <w:szCs w:val="28"/>
          <w:highlight w:val="none"/>
          <w:lang w:bidi="zh-TW"/>
          <w14:textFill>
            <w14:solidFill>
              <w14:schemeClr w14:val="tx1"/>
            </w14:solidFill>
          </w14:textFill>
        </w:rPr>
        <w:t>条</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 xml:space="preserve"> 乙方（含乙方投资经营使用租赁物的法人单位）有下列行为之一的，</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甲方有权选择乙方承担如下一种或多种违约责任：</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承担</w:t>
      </w:r>
      <w:r>
        <w:rPr>
          <w:rFonts w:hint="eastAsia" w:ascii="仿宋_GB2312" w:hAnsi="仿宋_GB2312" w:eastAsia="仿宋_GB2312" w:cs="仿宋_GB2312"/>
          <w:bCs/>
          <w:color w:val="auto"/>
          <w:sz w:val="28"/>
          <w:szCs w:val="28"/>
          <w:highlight w:val="none"/>
          <w:lang w:bidi="zh-TW"/>
        </w:rPr>
        <w:t>年租金30%的违约责任；解除合同，收回房屋</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履约保证金不予返还给乙方且不冲抵违约金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因</w:t>
      </w:r>
      <w:r>
        <w:rPr>
          <w:rFonts w:hint="eastAsia" w:ascii="仿宋_GB2312" w:hAnsi="仿宋_GB2312" w:eastAsia="仿宋_GB2312" w:cs="仿宋_GB2312"/>
          <w:bCs/>
          <w:color w:val="auto"/>
          <w:sz w:val="28"/>
          <w:szCs w:val="28"/>
          <w:highlight w:val="none"/>
          <w:lang w:val="en-US" w:eastAsia="zh-CN" w:bidi="zh-TW"/>
        </w:rPr>
        <w:t>乙方违约</w:t>
      </w:r>
      <w:r>
        <w:rPr>
          <w:rFonts w:hint="eastAsia" w:ascii="仿宋_GB2312" w:hAnsi="仿宋_GB2312" w:eastAsia="仿宋_GB2312" w:cs="仿宋_GB2312"/>
          <w:bCs/>
          <w:color w:val="auto"/>
          <w:sz w:val="28"/>
          <w:szCs w:val="28"/>
          <w:highlight w:val="none"/>
          <w:lang w:bidi="zh-TW"/>
        </w:rPr>
        <w:t>造成甲方损失的，</w:t>
      </w:r>
      <w:r>
        <w:rPr>
          <w:rFonts w:hint="eastAsia" w:ascii="仿宋_GB2312" w:hAnsi="仿宋_GB2312" w:eastAsia="仿宋_GB2312" w:cs="仿宋_GB2312"/>
          <w:bCs/>
          <w:color w:val="auto"/>
          <w:sz w:val="28"/>
          <w:szCs w:val="28"/>
          <w:highlight w:val="none"/>
          <w:lang w:val="en-US" w:eastAsia="zh-CN" w:bidi="zh-TW"/>
        </w:rPr>
        <w:t>要求</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auto"/>
          <w:sz w:val="28"/>
          <w:szCs w:val="28"/>
          <w:highlight w:val="none"/>
          <w:lang w:val="en-US" w:eastAsia="zh-CN" w:bidi="zh-TW"/>
        </w:rPr>
        <w:t>承担</w:t>
      </w:r>
      <w:r>
        <w:rPr>
          <w:rFonts w:hint="eastAsia" w:ascii="仿宋_GB2312" w:hAnsi="仿宋_GB2312" w:eastAsia="仿宋_GB2312" w:cs="仿宋_GB2312"/>
          <w:bCs/>
          <w:color w:val="auto"/>
          <w:sz w:val="28"/>
          <w:szCs w:val="28"/>
          <w:highlight w:val="none"/>
          <w:lang w:bidi="zh-TW"/>
        </w:rPr>
        <w:t>赔偿</w:t>
      </w:r>
      <w:r>
        <w:rPr>
          <w:rFonts w:hint="eastAsia" w:ascii="仿宋_GB2312" w:hAnsi="仿宋_GB2312" w:eastAsia="仿宋_GB2312" w:cs="仿宋_GB2312"/>
          <w:bCs/>
          <w:color w:val="auto"/>
          <w:sz w:val="28"/>
          <w:szCs w:val="28"/>
          <w:highlight w:val="none"/>
          <w:lang w:val="en-US" w:eastAsia="zh-CN" w:bidi="zh-TW"/>
        </w:rPr>
        <w:t>责任</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除按月租金一倍</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支付</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房屋</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占用费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外</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还应支付</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逾期违约金，逾期违约金以所欠占用费总额为基数，按当年1月20日全国银行同业拆借中心公布的一年期贷款市场报价利率（LPR)的四倍计算。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法定代表人（盖章）：           法定代表人（签字或盖章）：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pStyle w:val="2"/>
        <w:ind w:firstLine="4760" w:firstLineChars="1700"/>
        <w:rPr>
          <w:rFonts w:hint="eastAsia" w:ascii="仿宋_GB2312" w:hAnsi="仿宋_GB2312" w:eastAsia="仿宋_GB2312" w:cs="仿宋_GB2312"/>
          <w:bCs/>
          <w:color w:val="FF0000"/>
          <w:sz w:val="28"/>
          <w:szCs w:val="28"/>
          <w:highlight w:val="none"/>
          <w:lang w:eastAsia="zh-CN"/>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连带责任保证方（签章）：</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rPr>
          <w:rFonts w:hint="eastAsia" w:ascii="方正小标宋简体" w:hAnsi="方正小标宋简体" w:eastAsia="方正小标宋简体" w:cs="方正小标宋简体"/>
          <w:bCs/>
          <w:color w:val="auto"/>
          <w:sz w:val="44"/>
          <w:szCs w:val="44"/>
          <w:highlight w:val="none"/>
          <w:lang w:bidi="zh-TW"/>
        </w:rPr>
      </w:pPr>
      <w:r>
        <w:rPr>
          <w:rFonts w:hint="eastAsia" w:ascii="仿宋_GB2312" w:hAnsi="仿宋_GB2312" w:eastAsia="仿宋_GB2312" w:cs="仿宋_GB2312"/>
          <w:bCs/>
          <w:color w:val="auto"/>
          <w:sz w:val="28"/>
          <w:szCs w:val="28"/>
          <w:highlight w:val="none"/>
          <w:lang w:bidi="zh-TW"/>
        </w:rPr>
        <w:br w:type="page"/>
      </w:r>
    </w:p>
    <w:p>
      <w:pPr>
        <w:spacing w:line="560" w:lineRule="exact"/>
        <w:jc w:val="center"/>
        <w:rPr>
          <w:rFonts w:hint="eastAsia" w:ascii="仿宋" w:hAnsi="仿宋" w:eastAsia="方正小标宋简体" w:cs="仿宋"/>
          <w:bCs/>
          <w:color w:val="auto"/>
          <w:sz w:val="28"/>
          <w:szCs w:val="28"/>
          <w:highlight w:val="none"/>
          <w:lang w:eastAsia="zh-CN" w:bidi="zh-TW"/>
        </w:rPr>
      </w:pPr>
      <w:r>
        <w:rPr>
          <w:rFonts w:hint="eastAsia" w:ascii="方正小标宋简体" w:hAnsi="方正小标宋简体" w:eastAsia="方正小标宋简体" w:cs="方正小标宋简体"/>
          <w:bCs/>
          <w:color w:val="auto"/>
          <w:sz w:val="44"/>
          <w:szCs w:val="44"/>
          <w:highlight w:val="none"/>
          <w:lang w:bidi="zh-TW"/>
        </w:rPr>
        <w:t>安全管理协议</w:t>
      </w:r>
      <w:r>
        <w:rPr>
          <w:rFonts w:hint="eastAsia" w:ascii="方正小标宋简体" w:hAnsi="方正小标宋简体" w:eastAsia="方正小标宋简体" w:cs="方正小标宋简体"/>
          <w:b w:val="0"/>
          <w:bCs/>
          <w:color w:val="auto"/>
          <w:sz w:val="44"/>
          <w:szCs w:val="44"/>
          <w:highlight w:val="none"/>
          <w:lang w:eastAsia="zh-CN" w:bidi="zh-TW"/>
        </w:rPr>
        <w:t>（房屋类）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方在必要时,可对乙方的承租房屋内进行消防安全检查。如发现乙方的承租房屋内存有消防安全隐患,有权要求其及时进行整改,在任何时候,如遇火灾等紧急情况,</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w:t>
      </w:r>
      <w:r>
        <w:rPr>
          <w:rFonts w:hint="eastAsia" w:ascii="仿宋_GB2312" w:hAnsi="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7"/>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color w:val="auto"/>
          <w:sz w:val="32"/>
          <w:szCs w:val="32"/>
          <w:highlight w:val="none"/>
          <w:lang w:val="en-US" w:eastAsia="zh-CN"/>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pPr>
        <w:pStyle w:val="6"/>
        <w:ind w:left="0" w:leftChars="0" w:firstLine="0" w:firstLineChars="0"/>
        <w:jc w:val="left"/>
        <w:rPr>
          <w:rFonts w:hint="default"/>
          <w:sz w:val="32"/>
          <w:szCs w:val="32"/>
          <w:lang w:val="en-US" w:eastAsia="zh-CN"/>
        </w:rPr>
      </w:pPr>
    </w:p>
    <w:p>
      <w:pPr>
        <w:rPr>
          <w:rFonts w:hint="eastAsia"/>
        </w:rPr>
      </w:pPr>
      <w:bookmarkStart w:id="0" w:name="_GoBack"/>
      <w:bookmarkEnd w:id="0"/>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9615B"/>
    <w:rsid w:val="15581301"/>
    <w:rsid w:val="4C0312A8"/>
    <w:rsid w:val="64875754"/>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2"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qFormat/>
    <w:uiPriority w:val="1"/>
    <w:rPr>
      <w:rFonts w:ascii="宋体" w:hAnsi="宋体" w:cs="宋体"/>
      <w:lang w:val="zh-CN" w:bidi="zh-CN"/>
    </w:rPr>
  </w:style>
  <w:style w:type="paragraph" w:customStyle="1" w:styleId="6">
    <w:name w:val="Acetate"/>
    <w:basedOn w:val="1"/>
    <w:semiHidden/>
    <w:qFormat/>
    <w:uiPriority w:val="0"/>
    <w:pPr>
      <w:textAlignment w:val="baseline"/>
    </w:pPr>
    <w:rPr>
      <w:sz w:val="18"/>
      <w:szCs w:val="18"/>
    </w:rPr>
  </w:style>
  <w:style w:type="character" w:customStyle="1" w:styleId="7">
    <w:name w:val="r_0_31"/>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dell-01</cp:lastModifiedBy>
  <dcterms:modified xsi:type="dcterms:W3CDTF">2025-04-01T07:30:17Z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