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5" w:rightChars="50"/>
        <w:jc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（经营类）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pPr>
        <w:autoSpaceDE/>
        <w:autoSpaceDN/>
        <w:adjustRightInd/>
        <w:spacing w:line="400" w:lineRule="exac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pPr>
        <w:pStyle w:val="7"/>
        <w:rPr>
          <w:rFonts w:hint="eastAsia"/>
        </w:rPr>
      </w:pPr>
    </w:p>
    <w:p>
      <w:pPr>
        <w:pStyle w:val="7"/>
        <w:spacing w:line="400" w:lineRule="exact"/>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连带责任（保证方）：</w:t>
      </w:r>
    </w:p>
    <w:p>
      <w:pPr>
        <w:autoSpaceDE/>
        <w:autoSpaceDN/>
        <w:adjustRightInd/>
        <w:spacing w:line="400" w:lineRule="exac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身份证号码</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/统一社会信用代码</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联系地址：</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pPr>
        <w:pStyle w:val="2"/>
        <w:keepNext w:val="0"/>
        <w:keepLines w:val="0"/>
        <w:pageBreakBefore w:val="0"/>
        <w:widowControl/>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FF0000"/>
          <w:sz w:val="28"/>
          <w:szCs w:val="28"/>
          <w:highlight w:val="none"/>
          <w:lang w:eastAsia="zh-CN"/>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乙方租赁该房</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屋应符合国家相关法律法规政策规定的用途，不得用于经营有游戏房、车辆维修、易燃易爆等危险性商品的经营和服务、禽畜买卖宰杀以及有噪音、污染等项目。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乙方经营需使用</w:t>
      </w:r>
      <w:r>
        <w:rPr>
          <w:rFonts w:hint="eastAsia" w:ascii="仿宋_GB2312" w:hAnsi="仿宋_GB2312" w:eastAsia="仿宋_GB2312" w:cs="仿宋_GB2312"/>
          <w:bCs/>
          <w:color w:val="auto"/>
          <w:sz w:val="28"/>
          <w:szCs w:val="28"/>
          <w:highlight w:val="none"/>
          <w:lang w:eastAsia="zh-CN"/>
        </w:rPr>
        <w:t>外墙、屋顶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pPr>
        <w:keepNext w:val="0"/>
        <w:keepLines w:val="0"/>
        <w:pageBreakBefore w:val="0"/>
        <w:widowControl w:val="0"/>
        <w:kinsoku/>
        <w:wordWrap/>
        <w:overflowPunct/>
        <w:topLinePunct w:val="0"/>
        <w:autoSpaceDE/>
        <w:autoSpaceDN/>
        <w:bidi w:val="0"/>
        <w:adjustRightInd/>
        <w:snapToGrid/>
        <w:spacing w:line="400" w:lineRule="exact"/>
        <w:ind w:left="279"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40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4"/>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61" w:beforeLines="50"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pPr>
        <w:pStyle w:val="2"/>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pPr>
        <w:pStyle w:val="2"/>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甲方有权监督乙方对租赁房屋的安全、合理使用情况和守法经营情况，有权制订有关商务管理规则、物业管理条约等公共秩序、卫生管理制度，并不定期检查其执行情况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w:t>
      </w:r>
      <w:r>
        <w:rPr>
          <w:rFonts w:hint="eastAsia" w:ascii="仿宋_GB2312" w:hAnsi="仿宋_GB2312" w:eastAsia="仿宋_GB2312" w:cs="仿宋_GB2312"/>
          <w:bCs/>
          <w:color w:val="FF0000"/>
          <w:sz w:val="28"/>
          <w:szCs w:val="28"/>
          <w:highlight w:val="none"/>
          <w:lang w:val="en-US" w:eastAsia="zh-CN"/>
        </w:rPr>
        <w:t>火灾事故</w:t>
      </w:r>
      <w:r>
        <w:rPr>
          <w:rFonts w:hint="eastAsia" w:ascii="仿宋_GB2312" w:hAnsi="仿宋_GB2312" w:eastAsia="仿宋_GB2312" w:cs="仿宋_GB2312"/>
          <w:bCs/>
          <w:color w:val="auto"/>
          <w:sz w:val="28"/>
          <w:szCs w:val="28"/>
          <w:highlight w:val="none"/>
          <w:lang w:val="en-US" w:eastAsia="zh-CN"/>
        </w:rPr>
        <w:t>、</w:t>
      </w:r>
      <w:r>
        <w:rPr>
          <w:rFonts w:hint="eastAsia" w:ascii="仿宋_GB2312" w:hAnsi="仿宋_GB2312" w:eastAsia="仿宋_GB2312" w:cs="仿宋_GB2312"/>
          <w:bCs/>
          <w:color w:val="auto"/>
          <w:sz w:val="28"/>
          <w:szCs w:val="28"/>
          <w:highlight w:val="none"/>
        </w:rPr>
        <w:t>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乙方所租房屋只用于本合同约定用途的合法经营场所，不得用于非法活动，也不得改变租赁物的用途，租赁期间未经甲方书面同意不得向他人转租、分租、转借、抵押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
          <w:bCs w:val="0"/>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甲方没收乙方缴交的履约保证金；经甲方同意协议解除合同的，在乙方结清本合同项下所有费用及无其他违约行为的前提下，甲方按一定比例退还乙方履约保证金，具体如下：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第二十四条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000000" w:themeColor="text1"/>
          <w:sz w:val="28"/>
          <w:szCs w:val="28"/>
          <w:highlight w:val="none"/>
          <w:lang w:val="en-US" w:bidi="en-US"/>
          <w14:textFill>
            <w14:solidFill>
              <w14:schemeClr w14:val="tx1"/>
            </w14:solidFill>
          </w14:textFill>
        </w:rPr>
        <w:t>在乙方承租甲方房产后，乙方</w:t>
      </w:r>
      <w:r>
        <w:rPr>
          <w:rFonts w:hint="eastAsia" w:ascii="仿宋_GB2312" w:hAnsi="仿宋_GB2312" w:eastAsia="仿宋_GB2312" w:cs="仿宋_GB2312"/>
          <w:bCs/>
          <w:color w:val="000000" w:themeColor="text1"/>
          <w:sz w:val="28"/>
          <w:szCs w:val="28"/>
          <w:highlight w:val="none"/>
          <w:lang w:val="en-US" w:eastAsia="zh-CN" w:bidi="en-US"/>
          <w14:textFill>
            <w14:solidFill>
              <w14:schemeClr w14:val="tx1"/>
            </w14:solidFill>
          </w14:textFill>
        </w:rPr>
        <w:t>以本租赁物为注册地址并作为主要经营场所</w:t>
      </w:r>
      <w:r>
        <w:rPr>
          <w:rFonts w:hint="eastAsia" w:ascii="仿宋_GB2312" w:hAnsi="仿宋_GB2312" w:eastAsia="仿宋_GB2312" w:cs="仿宋_GB2312"/>
          <w:bCs/>
          <w:color w:val="000000" w:themeColor="text1"/>
          <w:sz w:val="28"/>
          <w:szCs w:val="28"/>
          <w:highlight w:val="none"/>
          <w:lang w:val="en-US" w:bidi="en-US"/>
          <w14:textFill>
            <w14:solidFill>
              <w14:schemeClr w14:val="tx1"/>
            </w14:solidFill>
          </w14:textFill>
        </w:rPr>
        <w:t>出资成立公司、合伙企业或者个体工商户的，</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该公司、合伙企业或者个体工商户应作为共同承租人，对本合同项下乙方的全部义务承担连带责任</w:t>
      </w:r>
      <w:r>
        <w:rPr>
          <w:rFonts w:hint="eastAsia" w:ascii="仿宋_GB2312" w:hAnsi="仿宋_GB2312" w:eastAsia="仿宋_GB2312" w:cs="仿宋_GB2312"/>
          <w:b w:val="0"/>
          <w:bCs/>
          <w:color w:val="000000" w:themeColor="text1"/>
          <w:sz w:val="28"/>
          <w:szCs w:val="28"/>
          <w:highlight w:val="none"/>
          <w:lang w:val="en-US" w:eastAsia="zh-CN" w:bidi="en-US"/>
          <w14:textFill>
            <w14:solidFill>
              <w14:schemeClr w14:val="tx1"/>
            </w14:solidFill>
          </w14:textFill>
        </w:rPr>
        <w:t>，具体以各方另行签订的补充协议约定为准</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000000" w:themeColor="text1"/>
          <w:sz w:val="28"/>
          <w:szCs w:val="28"/>
          <w:highlight w:val="none"/>
          <w:lang w:bidi="en-US"/>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乙方的股东或合伙人</w:t>
      </w:r>
      <w:r>
        <w:rPr>
          <w:rFonts w:hint="eastAsia" w:ascii="仿宋_GB2312" w:hAnsi="仿宋_GB2312" w:eastAsia="仿宋_GB2312" w:cs="仿宋_GB2312"/>
          <w:b w:val="0"/>
          <w:bCs/>
          <w:color w:val="000000" w:themeColor="text1"/>
          <w:sz w:val="28"/>
          <w:szCs w:val="28"/>
          <w:highlight w:val="none"/>
          <w:u w:val="single"/>
          <w:lang w:val="en-US" w:eastAsia="zh-CN" w:bidi="en-US"/>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对本合同项下乙方的全部义务承担连带担保责任。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（如水费、电费等收费标准遇政策调整，则根据调整幅度做相应调整）。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乙方自行承担因经营业态不符导致无法经营等相关责任以及涉及消防等特殊行业要求的相关费用。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乙方经营过程中与他人产生纠纷，或因第三人的原因，导致他人对租赁房产和甲方其他财产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四</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致使该租赁房屋无法继续经营，双方可解除合同，结清费用后互不追究责任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乙方若确因经营所需，拟将租赁房屋转租或分租的,必须经与甲方协商并取得甲方书面同意的方可转租或分租；同时乙方对次承租人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p>
    <w:p>
      <w:pPr>
        <w:pStyle w:val="2"/>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pPr>
        <w:pStyle w:val="2"/>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六</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违反本合同约定的，违约方都应当承担相应的违约责任；同时违反两条以上约定的，最终承担违约责任金额分别累加计算。</w:t>
      </w:r>
    </w:p>
    <w:p>
      <w:pPr>
        <w:pStyle w:val="2"/>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七</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依照本合同约定或乙方经营过程中发生的应当缴纳的费用，逾期未缴纳的，</w:t>
      </w:r>
      <w:r>
        <w:rPr>
          <w:rFonts w:hint="eastAsia" w:ascii="仿宋_GB2312" w:hAnsi="仿宋_GB2312" w:eastAsia="仿宋_GB2312" w:cs="仿宋_GB2312"/>
          <w:bCs/>
          <w:color w:val="auto"/>
          <w:sz w:val="28"/>
          <w:szCs w:val="28"/>
          <w:highlight w:val="none"/>
          <w:lang w:val="en-US" w:eastAsia="zh-CN"/>
        </w:rPr>
        <w:t>甲方有权采取断水断电等措施，</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乙方应支付逾期违约金，</w:t>
      </w:r>
      <w:r>
        <w:rPr>
          <w:rFonts w:hint="eastAsia" w:ascii="仿宋_GB2312" w:hAnsi="仿宋_GB2312" w:eastAsia="仿宋_GB2312" w:cs="仿宋_GB2312"/>
          <w:bCs w:val="0"/>
          <w:color w:val="000000" w:themeColor="text1"/>
          <w:sz w:val="28"/>
          <w:szCs w:val="28"/>
          <w:highlight w:val="none"/>
          <w:lang w:val="en-US" w:eastAsia="zh-CN"/>
          <w14:textFill>
            <w14:solidFill>
              <w14:schemeClr w14:val="tx1"/>
            </w14:solidFill>
          </w14:textFill>
        </w:rPr>
        <w:t>以所欠费用总额为基数，</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按当年1月20日全国银行同业拆借中心公布的一年期贷款市场报价利率（LPR）的四倍计算。逾期违约金从履约保证金中扣除，当扣除金额达到履约保证金三分之一时，甲方通知乙方缴交，不及时缴交的视情况解除合同，并提起诉讼，由此产生的律师费、诉讼费、保全费等一切费用由乙方承担</w:t>
      </w:r>
      <w:r>
        <w:rPr>
          <w:rFonts w:hint="eastAsia" w:ascii="仿宋_GB2312" w:hAnsi="仿宋_GB2312" w:eastAsia="仿宋_GB2312" w:cs="仿宋_GB2312"/>
          <w:bCs/>
          <w:color w:val="000000" w:themeColor="text1"/>
          <w:sz w:val="28"/>
          <w:szCs w:val="28"/>
          <w:highlight w:val="none"/>
          <w:lang w:val="en-US"/>
          <w14:textFill>
            <w14:solidFill>
              <w14:schemeClr w14:val="tx1"/>
            </w14:solidFill>
          </w14:textFill>
        </w:rPr>
        <w:t>。经甲方书面催告后五天内，乙方仍未交清逾期款项和违约金的，甲方有权立即解除本合同，乙方应在五天内腾</w:t>
      </w:r>
      <w:r>
        <w:rPr>
          <w:rFonts w:hint="eastAsia" w:ascii="仿宋_GB2312" w:hAnsi="仿宋_GB2312" w:eastAsia="仿宋_GB2312" w:cs="仿宋_GB2312"/>
          <w:bCs/>
          <w:color w:val="auto"/>
          <w:sz w:val="28"/>
          <w:szCs w:val="28"/>
          <w:highlight w:val="none"/>
          <w:lang w:val="en-US"/>
        </w:rPr>
        <w:t>房交还给甲方，并追究乙方的违约责任和赔偿责任。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甲方有权选择乙方承担如下一种或多种违约责任：</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承</w:t>
      </w:r>
      <w:r>
        <w:rPr>
          <w:rFonts w:hint="eastAsia" w:ascii="仿宋_GB2312" w:hAnsi="仿宋_GB2312" w:eastAsia="仿宋_GB2312" w:cs="仿宋_GB2312"/>
          <w:bCs/>
          <w:color w:val="auto"/>
          <w:sz w:val="28"/>
          <w:szCs w:val="28"/>
          <w:highlight w:val="none"/>
          <w:lang w:bidi="zh-TW"/>
        </w:rPr>
        <w:t>担年租金30%的违约责任；解除合同，收回房屋</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履约保证金不予返还给乙方且不冲抵违约金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因</w:t>
      </w:r>
      <w:r>
        <w:rPr>
          <w:rFonts w:hint="eastAsia" w:ascii="仿宋_GB2312" w:hAnsi="仿宋_GB2312" w:eastAsia="仿宋_GB2312" w:cs="仿宋_GB2312"/>
          <w:bCs/>
          <w:color w:val="auto"/>
          <w:sz w:val="28"/>
          <w:szCs w:val="28"/>
          <w:highlight w:val="none"/>
          <w:lang w:val="en-US" w:eastAsia="zh-CN" w:bidi="zh-TW"/>
        </w:rPr>
        <w:t>乙方违约</w:t>
      </w:r>
      <w:r>
        <w:rPr>
          <w:rFonts w:hint="eastAsia" w:ascii="仿宋_GB2312" w:hAnsi="仿宋_GB2312" w:eastAsia="仿宋_GB2312" w:cs="仿宋_GB2312"/>
          <w:bCs/>
          <w:color w:val="auto"/>
          <w:sz w:val="28"/>
          <w:szCs w:val="28"/>
          <w:highlight w:val="none"/>
          <w:lang w:bidi="zh-TW"/>
        </w:rPr>
        <w:t>造成甲方损失的，</w:t>
      </w:r>
      <w:r>
        <w:rPr>
          <w:rFonts w:hint="eastAsia" w:ascii="仿宋_GB2312" w:hAnsi="仿宋_GB2312" w:eastAsia="仿宋_GB2312" w:cs="仿宋_GB2312"/>
          <w:bCs/>
          <w:color w:val="auto"/>
          <w:sz w:val="28"/>
          <w:szCs w:val="28"/>
          <w:highlight w:val="none"/>
          <w:lang w:val="en-US" w:eastAsia="zh-CN" w:bidi="zh-TW"/>
        </w:rPr>
        <w:t>要求</w:t>
      </w:r>
      <w:r>
        <w:rPr>
          <w:rFonts w:hint="eastAsia" w:ascii="仿宋_GB2312" w:hAnsi="仿宋_GB2312" w:eastAsia="仿宋_GB2312" w:cs="仿宋_GB2312"/>
          <w:bCs/>
          <w:color w:val="auto"/>
          <w:sz w:val="28"/>
          <w:szCs w:val="28"/>
          <w:highlight w:val="none"/>
          <w:lang w:bidi="zh-TW"/>
        </w:rPr>
        <w:t>乙方</w:t>
      </w:r>
      <w:r>
        <w:rPr>
          <w:rFonts w:hint="eastAsia" w:ascii="仿宋_GB2312" w:hAnsi="仿宋_GB2312" w:eastAsia="仿宋_GB2312" w:cs="仿宋_GB2312"/>
          <w:bCs/>
          <w:color w:val="auto"/>
          <w:sz w:val="28"/>
          <w:szCs w:val="28"/>
          <w:highlight w:val="none"/>
          <w:lang w:val="en-US" w:eastAsia="zh-CN" w:bidi="zh-TW"/>
        </w:rPr>
        <w:t>承担</w:t>
      </w:r>
      <w:r>
        <w:rPr>
          <w:rFonts w:hint="eastAsia" w:ascii="仿宋_GB2312" w:hAnsi="仿宋_GB2312" w:eastAsia="仿宋_GB2312" w:cs="仿宋_GB2312"/>
          <w:bCs/>
          <w:color w:val="auto"/>
          <w:sz w:val="28"/>
          <w:szCs w:val="28"/>
          <w:highlight w:val="none"/>
          <w:lang w:bidi="zh-TW"/>
        </w:rPr>
        <w:t>赔偿</w:t>
      </w:r>
      <w:r>
        <w:rPr>
          <w:rFonts w:hint="eastAsia" w:ascii="仿宋_GB2312" w:hAnsi="仿宋_GB2312" w:eastAsia="仿宋_GB2312" w:cs="仿宋_GB2312"/>
          <w:bCs/>
          <w:color w:val="auto"/>
          <w:sz w:val="28"/>
          <w:szCs w:val="28"/>
          <w:highlight w:val="none"/>
          <w:lang w:val="en-US" w:eastAsia="zh-CN" w:bidi="zh-TW"/>
        </w:rPr>
        <w:t>责任</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乙方</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除按月租金一倍</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支付</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房屋</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占用费</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外</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还应支付</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逾期违约金，逾期违约金以所欠占用费总额为基数，按当年1月20日全国银行同业拆借中心公布的一年期贷款市场报价利率（LPR)的四倍计算。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第四十一条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第四十二条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pPr>
        <w:pStyle w:val="2"/>
        <w:keepNext w:val="0"/>
        <w:keepLines w:val="0"/>
        <w:pageBreakBefore w:val="0"/>
        <w:widowControl/>
        <w:kinsoku/>
        <w:wordWrap/>
        <w:overflowPunct/>
        <w:topLinePunct w:val="0"/>
        <w:autoSpaceDE/>
        <w:autoSpaceDN/>
        <w:bidi w:val="0"/>
        <w:adjustRightInd w:val="0"/>
        <w:snapToGrid w:val="0"/>
        <w:spacing w:line="360" w:lineRule="exact"/>
        <w:ind w:firstLine="562" w:firstLineChars="200"/>
        <w:textAlignment w:val="auto"/>
        <w:rPr>
          <w:rFonts w:hint="default"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法定代表人（盖章）：              法定代表人（签字或盖章）：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pStyle w:val="7"/>
        <w:ind w:firstLine="4480" w:firstLineChars="1600"/>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连带责任保证方（签章）：</w:t>
      </w: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pPr>
        <w:rPr>
          <w:rFonts w:hint="eastAsia" w:ascii="黑体" w:hAnsi="黑体" w:eastAsia="黑体" w:cs="黑体"/>
          <w:color w:val="auto"/>
          <w:sz w:val="32"/>
          <w:szCs w:val="32"/>
          <w:highlight w:val="none"/>
          <w:lang w:val="en-US" w:eastAsia="zh-CN" w:bidi="ar-SA"/>
        </w:rPr>
      </w:pPr>
      <w:r>
        <w:rPr>
          <w:rFonts w:hint="eastAsia" w:ascii="仿宋_GB2312" w:hAnsi="仿宋_GB2312" w:eastAsia="仿宋_GB2312" w:cs="仿宋_GB2312"/>
          <w:bCs/>
          <w:color w:val="auto"/>
          <w:sz w:val="28"/>
          <w:szCs w:val="28"/>
          <w:highlight w:val="none"/>
          <w:lang w:bidi="zh-TW"/>
        </w:rPr>
        <w:br w:type="page"/>
      </w:r>
    </w:p>
    <w:p>
      <w:pPr>
        <w:spacing w:line="560" w:lineRule="exact"/>
        <w:jc w:val="center"/>
        <w:rPr>
          <w:rFonts w:hint="eastAsia" w:ascii="仿宋" w:hAnsi="仿宋" w:eastAsia="方正小标宋简体" w:cs="仿宋"/>
          <w:bCs/>
          <w:color w:val="auto"/>
          <w:sz w:val="28"/>
          <w:szCs w:val="28"/>
          <w:highlight w:val="none"/>
          <w:lang w:eastAsia="zh-CN" w:bidi="zh-TW"/>
        </w:rPr>
      </w:pPr>
      <w:r>
        <w:rPr>
          <w:rFonts w:hint="eastAsia" w:ascii="方正小标宋简体" w:hAnsi="方正小标宋简体" w:eastAsia="方正小标宋简体" w:cs="方正小标宋简体"/>
          <w:bCs/>
          <w:color w:val="auto"/>
          <w:sz w:val="44"/>
          <w:szCs w:val="44"/>
          <w:highlight w:val="none"/>
          <w:lang w:bidi="zh-TW"/>
        </w:rPr>
        <w:t>安全管理协议</w:t>
      </w:r>
      <w:r>
        <w:rPr>
          <w:rFonts w:hint="eastAsia" w:ascii="方正小标宋简体" w:hAnsi="方正小标宋简体" w:eastAsia="方正小标宋简体" w:cs="方正小标宋简体"/>
          <w:b w:val="0"/>
          <w:bCs/>
          <w:color w:val="auto"/>
          <w:sz w:val="44"/>
          <w:szCs w:val="44"/>
          <w:highlight w:val="none"/>
          <w:lang w:eastAsia="zh-CN" w:bidi="zh-TW"/>
        </w:rPr>
        <w:t>（房屋类）</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w:t>
      </w:r>
      <w:r>
        <w:rPr>
          <w:rFonts w:hint="eastAsia" w:ascii="仿宋_GB2312" w:hAnsi="仿宋_GB2312" w:eastAsia="仿宋_GB2312" w:cs="仿宋_GB2312"/>
          <w:bCs/>
          <w:color w:val="auto"/>
          <w:sz w:val="28"/>
          <w:szCs w:val="28"/>
          <w:highlight w:val="none"/>
          <w:lang w:eastAsia="zh-CN" w:bidi="zh-TW"/>
        </w:rPr>
        <w:t>主要责任</w:t>
      </w:r>
      <w:r>
        <w:rPr>
          <w:rFonts w:hint="eastAsia" w:ascii="仿宋_GB2312" w:hAnsi="仿宋_GB2312" w:eastAsia="仿宋_GB2312" w:cs="仿宋_GB2312"/>
          <w:bCs/>
          <w:color w:val="auto"/>
          <w:sz w:val="28"/>
          <w:szCs w:val="28"/>
          <w:highlight w:val="none"/>
          <w:lang w:bidi="zh-TW"/>
        </w:rPr>
        <w:t>，在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方在必要时,可对乙方的承租房屋内进行消防安全检查。如发现乙方的承租房屋内存有消防安全隐患,有权要求其及时进行整改,在任何时候,如遇火灾等紧急情况,</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方受到处罚的，由乙方承担赔偿责任及</w:t>
      </w:r>
      <w:r>
        <w:rPr>
          <w:rFonts w:hint="eastAsia" w:ascii="仿宋_GB2312" w:hAnsi="仿宋_GB2312" w:eastAsia="仿宋_GB2312" w:cs="仿宋_GB2312"/>
          <w:bCs/>
          <w:color w:val="auto"/>
          <w:sz w:val="28"/>
          <w:szCs w:val="28"/>
          <w:highlight w:val="none"/>
          <w:lang w:eastAsia="zh-CN" w:bidi="zh-TW"/>
        </w:rPr>
        <w:t>相应</w:t>
      </w:r>
      <w:r>
        <w:rPr>
          <w:rFonts w:hint="eastAsia" w:ascii="仿宋_GB2312" w:hAnsi="仿宋_GB2312" w:eastAsia="仿宋_GB2312" w:cs="仿宋_GB2312"/>
          <w:bCs/>
          <w:color w:val="auto"/>
          <w:sz w:val="28"/>
          <w:szCs w:val="28"/>
          <w:highlight w:val="none"/>
          <w:lang w:bidi="zh-TW"/>
        </w:rPr>
        <w:t>法律责任。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w:t>
      </w:r>
      <w:r>
        <w:rPr>
          <w:rFonts w:hint="eastAsia" w:ascii="仿宋_GB2312" w:hAnsi="仿宋_GB2312" w:eastAsia="仿宋_GB2312" w:cs="仿宋_GB2312"/>
          <w:bCs/>
          <w:color w:val="auto"/>
          <w:sz w:val="28"/>
          <w:szCs w:val="28"/>
          <w:highlight w:val="none"/>
          <w:lang w:eastAsia="zh-CN" w:bidi="zh-TW"/>
        </w:rPr>
        <w:t>主要</w:t>
      </w:r>
      <w:r>
        <w:rPr>
          <w:rFonts w:hint="eastAsia" w:ascii="仿宋_GB2312" w:hAnsi="仿宋_GB2312" w:eastAsia="仿宋_GB2312" w:cs="仿宋_GB2312"/>
          <w:bCs/>
          <w:color w:val="auto"/>
          <w:sz w:val="28"/>
          <w:szCs w:val="28"/>
          <w:highlight w:val="none"/>
          <w:lang w:bidi="zh-TW"/>
        </w:rPr>
        <w:t>责任且甲方有权立即解除合同。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8"/>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p>
    <w:p>
      <w:pPr>
        <w:pStyle w:val="9"/>
        <w:keepNext/>
        <w:keepLines/>
        <w:pageBreakBefore w:val="0"/>
        <w:widowControl w:val="0"/>
        <w:kinsoku/>
        <w:wordWrap/>
        <w:overflowPunct/>
        <w:topLinePunct w:val="0"/>
        <w:autoSpaceDE/>
        <w:autoSpaceDN/>
        <w:bidi w:val="0"/>
        <w:adjustRightInd/>
        <w:snapToGrid/>
        <w:spacing w:after="0" w:line="560" w:lineRule="exact"/>
        <w:jc w:val="both"/>
        <w:textAlignment w:val="auto"/>
        <w:rPr>
          <w:rFonts w:ascii="方正小标宋简体" w:hAnsi="仿宋" w:eastAsia="方正小标宋简体" w:cs="方正小标宋_GBK"/>
          <w:color w:val="auto"/>
          <w:sz w:val="44"/>
          <w:szCs w:val="44"/>
          <w:highlight w:val="none"/>
          <w:lang w:val="en-US" w:eastAsia="zh-CN" w:bidi="ar-SA"/>
        </w:rPr>
      </w:pPr>
    </w:p>
    <w:p/>
    <w:p>
      <w:pPr>
        <w:pStyle w:val="6"/>
        <w:ind w:firstLine="840" w:firstLineChars="300"/>
        <w:rPr>
          <w:rFonts w:hint="default" w:ascii="仿宋_GB2312" w:hAnsi="仿宋_GB2312" w:eastAsia="仿宋_GB2312" w:cs="仿宋_GB2312"/>
          <w:bCs/>
          <w:color w:val="auto"/>
          <w:sz w:val="28"/>
          <w:szCs w:val="28"/>
          <w:highlight w:val="none"/>
          <w:lang w:val="en-US" w:eastAsia="zh-CN" w:bidi="zh-TW"/>
        </w:rPr>
      </w:pPr>
    </w:p>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A76D6"/>
    <w:rsid w:val="4E2A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Acetate"/>
    <w:basedOn w:val="1"/>
    <w:semiHidden/>
    <w:qFormat/>
    <w:uiPriority w:val="0"/>
    <w:pPr>
      <w:textAlignment w:val="baseline"/>
    </w:pPr>
    <w:rPr>
      <w:sz w:val="18"/>
      <w:szCs w:val="18"/>
    </w:rPr>
  </w:style>
  <w:style w:type="paragraph" w:customStyle="1" w:styleId="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8">
    <w:name w:val="r_0_31"/>
    <w:basedOn w:val="5"/>
    <w:qFormat/>
    <w:uiPriority w:val="0"/>
  </w:style>
  <w:style w:type="paragraph" w:customStyle="1" w:styleId="9">
    <w:name w:val="Heading #1|1"/>
    <w:basedOn w:val="1"/>
    <w:qFormat/>
    <w:uiPriority w:val="0"/>
    <w:pPr>
      <w:spacing w:after="400"/>
      <w:jc w:val="center"/>
      <w:outlineLvl w:val="0"/>
    </w:pPr>
    <w:rPr>
      <w:rFonts w:ascii="MingLiU" w:hAnsi="MingLiU" w:eastAsia="MingLiU" w:cs="MingLiU"/>
      <w:color w:val="auto"/>
      <w:kern w:val="2"/>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2025-06-17T03:30:00Z</dcterms:created>
  <dc:creator>Administrator</dc:creator>
  <cp:lastModifiedBy>Administrator</cp:lastModifiedBy>
  <dcterms:modified xsi:type="dcterms:W3CDTF">2025-06-17T03:30:43Z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