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themeColor="background1"/>
  <w:body>
    <w:p>
      <w:pPr>
        <w:spacing w:after="120"/>
        <w:ind w:left="720" w:hanging="720"/>
        <w:jc w:val="center"/>
        <w:rPr>
          <w:rFonts w:ascii="宋体" w:hAnsi="宋体"/>
          <w:b/>
          <w:spacing w:val="10"/>
          <w:kern w:val="16"/>
          <w:sz w:val="36"/>
        </w:rPr>
      </w:pPr>
    </w:p>
    <w:p>
      <w:pPr>
        <w:spacing w:after="120"/>
        <w:ind w:left="720" w:hanging="720"/>
        <w:jc w:val="center"/>
        <w:rPr>
          <w:rFonts w:ascii="宋体" w:hAnsi="宋体"/>
          <w:b/>
          <w:spacing w:val="10"/>
          <w:kern w:val="16"/>
          <w:sz w:val="36"/>
        </w:rPr>
      </w:pPr>
    </w:p>
    <w:p>
      <w:pPr>
        <w:spacing w:after="120"/>
        <w:ind w:left="720" w:hanging="720"/>
        <w:jc w:val="center"/>
        <w:rPr>
          <w:rFonts w:ascii="宋体" w:hAnsi="宋体"/>
          <w:b/>
          <w:spacing w:val="10"/>
          <w:kern w:val="16"/>
          <w:sz w:val="36"/>
        </w:rPr>
      </w:pPr>
    </w:p>
    <w:p>
      <w:pPr>
        <w:spacing w:after="120"/>
        <w:ind w:left="720" w:hanging="720"/>
        <w:jc w:val="center"/>
        <w:rPr>
          <w:rFonts w:ascii="宋体" w:hAnsi="宋体"/>
          <w:b/>
          <w:spacing w:val="10"/>
          <w:kern w:val="16"/>
          <w:sz w:val="36"/>
          <w:lang w:eastAsia="zh-TW"/>
        </w:rPr>
      </w:pPr>
    </w:p>
    <w:p>
      <w:pPr>
        <w:spacing w:after="120"/>
        <w:ind w:left="720" w:hanging="720"/>
        <w:jc w:val="center"/>
        <w:rPr>
          <w:rFonts w:ascii="宋体" w:hAnsi="宋体"/>
          <w:b/>
          <w:spacing w:val="10"/>
          <w:kern w:val="16"/>
          <w:sz w:val="48"/>
          <w:szCs w:val="48"/>
        </w:rPr>
      </w:pPr>
      <w:r>
        <w:rPr>
          <w:rFonts w:hint="eastAsia" w:ascii="宋体" w:hAnsi="宋体"/>
          <w:b/>
          <w:spacing w:val="10"/>
          <w:kern w:val="16"/>
          <w:sz w:val="48"/>
          <w:szCs w:val="48"/>
        </w:rPr>
        <w:t>福建海峡银行</w:t>
      </w:r>
      <w:r>
        <w:rPr>
          <w:rFonts w:ascii="宋体" w:hAnsi="宋体"/>
          <w:b/>
          <w:spacing w:val="10"/>
          <w:kern w:val="16"/>
          <w:sz w:val="48"/>
          <w:szCs w:val="48"/>
        </w:rPr>
        <w:t>房屋租赁合同</w:t>
      </w:r>
    </w:p>
    <w:p>
      <w:pPr>
        <w:spacing w:after="120"/>
        <w:ind w:left="720" w:hanging="720"/>
        <w:jc w:val="center"/>
        <w:rPr>
          <w:rFonts w:ascii="宋体" w:hAnsi="宋体"/>
          <w:b/>
          <w:spacing w:val="10"/>
          <w:kern w:val="16"/>
          <w:sz w:val="32"/>
        </w:rPr>
      </w:pPr>
    </w:p>
    <w:p>
      <w:pPr>
        <w:spacing w:after="120"/>
        <w:ind w:left="720" w:hanging="720"/>
        <w:jc w:val="center"/>
        <w:rPr>
          <w:rFonts w:ascii="宋体" w:hAnsi="宋体"/>
          <w:b/>
          <w:spacing w:val="10"/>
          <w:kern w:val="16"/>
          <w:sz w:val="32"/>
        </w:rPr>
      </w:pPr>
    </w:p>
    <w:p>
      <w:pPr>
        <w:spacing w:after="120"/>
        <w:ind w:left="720" w:hanging="720"/>
        <w:jc w:val="center"/>
        <w:rPr>
          <w:rFonts w:ascii="宋体" w:hAnsi="宋体"/>
          <w:b/>
          <w:spacing w:val="10"/>
          <w:kern w:val="16"/>
          <w:sz w:val="32"/>
        </w:rPr>
      </w:pPr>
    </w:p>
    <w:p>
      <w:pPr>
        <w:spacing w:after="120"/>
        <w:ind w:left="720" w:hanging="720"/>
        <w:jc w:val="center"/>
        <w:rPr>
          <w:rFonts w:ascii="宋体" w:hAnsi="宋体"/>
          <w:b/>
          <w:spacing w:val="10"/>
          <w:kern w:val="16"/>
          <w:sz w:val="32"/>
        </w:rPr>
      </w:pPr>
    </w:p>
    <w:p>
      <w:pPr>
        <w:spacing w:after="120"/>
        <w:ind w:left="720" w:hanging="720"/>
        <w:jc w:val="center"/>
        <w:rPr>
          <w:rFonts w:ascii="宋体" w:hAnsi="宋体"/>
          <w:b/>
          <w:spacing w:val="10"/>
          <w:kern w:val="16"/>
          <w:sz w:val="32"/>
        </w:rPr>
      </w:pPr>
    </w:p>
    <w:p>
      <w:pPr>
        <w:spacing w:after="120"/>
        <w:ind w:left="720" w:hanging="720"/>
        <w:jc w:val="center"/>
        <w:rPr>
          <w:rFonts w:ascii="宋体" w:hAnsi="宋体"/>
          <w:b/>
          <w:spacing w:val="10"/>
          <w:kern w:val="16"/>
          <w:sz w:val="32"/>
        </w:rPr>
      </w:pPr>
    </w:p>
    <w:p>
      <w:pPr>
        <w:spacing w:after="120"/>
        <w:ind w:left="720" w:hanging="720"/>
        <w:jc w:val="center"/>
        <w:rPr>
          <w:rFonts w:ascii="宋体" w:hAnsi="宋体"/>
          <w:b/>
          <w:spacing w:val="10"/>
          <w:kern w:val="16"/>
          <w:sz w:val="32"/>
        </w:rPr>
      </w:pPr>
    </w:p>
    <w:p>
      <w:pPr>
        <w:spacing w:after="120"/>
        <w:ind w:left="720" w:hanging="720"/>
        <w:jc w:val="center"/>
        <w:rPr>
          <w:rFonts w:ascii="宋体" w:hAnsi="宋体"/>
          <w:b/>
          <w:spacing w:val="10"/>
          <w:kern w:val="16"/>
          <w:sz w:val="32"/>
        </w:rPr>
      </w:pPr>
    </w:p>
    <w:p>
      <w:pPr>
        <w:spacing w:after="120"/>
        <w:ind w:left="720" w:hanging="720"/>
        <w:jc w:val="center"/>
        <w:rPr>
          <w:rFonts w:ascii="宋体" w:hAnsi="宋体"/>
          <w:b/>
          <w:spacing w:val="10"/>
          <w:kern w:val="16"/>
          <w:sz w:val="32"/>
        </w:rPr>
      </w:pPr>
    </w:p>
    <w:p>
      <w:pPr>
        <w:spacing w:after="120"/>
        <w:ind w:left="720" w:hanging="720"/>
        <w:jc w:val="center"/>
        <w:rPr>
          <w:rFonts w:ascii="宋体" w:hAnsi="宋体"/>
          <w:b/>
          <w:spacing w:val="10"/>
          <w:kern w:val="16"/>
          <w:sz w:val="32"/>
        </w:rPr>
      </w:pPr>
    </w:p>
    <w:p>
      <w:pPr>
        <w:spacing w:after="120"/>
        <w:ind w:left="720" w:hanging="720"/>
        <w:jc w:val="center"/>
        <w:rPr>
          <w:rFonts w:ascii="宋体" w:hAnsi="宋体"/>
          <w:b/>
          <w:spacing w:val="10"/>
          <w:kern w:val="16"/>
          <w:sz w:val="32"/>
        </w:rPr>
      </w:pPr>
    </w:p>
    <w:p>
      <w:pPr>
        <w:spacing w:after="120"/>
        <w:ind w:left="720" w:hanging="720"/>
        <w:jc w:val="center"/>
        <w:rPr>
          <w:rFonts w:ascii="宋体" w:hAnsi="宋体"/>
          <w:b/>
          <w:spacing w:val="10"/>
          <w:kern w:val="16"/>
          <w:sz w:val="32"/>
        </w:rPr>
      </w:pPr>
      <w:r>
        <w:rPr>
          <w:rFonts w:hint="eastAsia" w:ascii="宋体" w:hAnsi="宋体"/>
          <w:b/>
          <w:spacing w:val="10"/>
          <w:kern w:val="16"/>
          <w:sz w:val="32"/>
        </w:rPr>
        <w:t>福建海峡银行股份有限公司</w:t>
      </w:r>
    </w:p>
    <w:p>
      <w:pPr>
        <w:spacing w:after="120"/>
        <w:ind w:left="720" w:hanging="720"/>
        <w:jc w:val="center"/>
        <w:rPr>
          <w:rFonts w:ascii="宋体" w:hAnsi="宋体"/>
          <w:b/>
          <w:spacing w:val="10"/>
          <w:kern w:val="16"/>
        </w:rPr>
      </w:pPr>
      <w:r>
        <w:rPr>
          <w:rFonts w:hint="eastAsia" w:ascii="宋体" w:hAnsi="宋体"/>
          <w:b/>
          <w:spacing w:val="10"/>
          <w:kern w:val="16"/>
          <w:lang w:val="en-US" w:eastAsia="zh-CN"/>
        </w:rPr>
        <w:t>2025</w:t>
      </w:r>
      <w:r>
        <w:rPr>
          <w:rFonts w:hint="eastAsia" w:ascii="宋体" w:hAnsi="宋体"/>
          <w:b/>
          <w:spacing w:val="10"/>
          <w:kern w:val="16"/>
        </w:rPr>
        <w:t>年</w:t>
      </w:r>
    </w:p>
    <w:p>
      <w:pPr>
        <w:spacing w:after="120"/>
        <w:ind w:left="720" w:hanging="720"/>
        <w:jc w:val="center"/>
        <w:rPr>
          <w:rFonts w:ascii="宋体" w:hAnsi="宋体"/>
          <w:spacing w:val="10"/>
          <w:kern w:val="16"/>
        </w:rPr>
      </w:pPr>
    </w:p>
    <w:p>
      <w:pPr>
        <w:spacing w:line="480" w:lineRule="exact"/>
        <w:jc w:val="center"/>
        <w:rPr>
          <w:rFonts w:ascii="宋体" w:hAnsi="宋体"/>
          <w:b/>
          <w:sz w:val="36"/>
          <w:szCs w:val="36"/>
        </w:rPr>
      </w:pPr>
      <w:r>
        <w:rPr>
          <w:rFonts w:hint="eastAsia" w:ascii="宋体" w:hAnsi="宋体"/>
          <w:b/>
          <w:sz w:val="36"/>
          <w:szCs w:val="36"/>
        </w:rPr>
        <w:t>福建海峡银行房屋租赁合同</w:t>
      </w:r>
    </w:p>
    <w:p>
      <w:pPr>
        <w:spacing w:line="480" w:lineRule="exact"/>
        <w:ind w:firstLine="5460" w:firstLineChars="2600"/>
        <w:jc w:val="left"/>
        <w:rPr>
          <w:rFonts w:ascii="宋体" w:hAnsi="宋体"/>
          <w:szCs w:val="21"/>
        </w:rPr>
      </w:pPr>
      <w:r>
        <w:rPr>
          <w:rFonts w:hint="eastAsia" w:ascii="宋体" w:hAnsi="宋体"/>
          <w:szCs w:val="21"/>
        </w:rPr>
        <w:t>编号：</w:t>
      </w:r>
    </w:p>
    <w:p>
      <w:pPr>
        <w:spacing w:line="348" w:lineRule="auto"/>
        <w:jc w:val="left"/>
        <w:rPr>
          <w:rFonts w:ascii="宋体" w:hAnsi="宋体"/>
          <w:sz w:val="24"/>
        </w:rPr>
      </w:pPr>
    </w:p>
    <w:p>
      <w:pPr>
        <w:spacing w:line="348" w:lineRule="auto"/>
        <w:jc w:val="left"/>
        <w:rPr>
          <w:rFonts w:hint="default" w:ascii="宋体" w:hAnsi="宋体" w:eastAsia="宋体"/>
          <w:sz w:val="24"/>
          <w:lang w:val="en-US" w:eastAsia="zh-CN"/>
        </w:rPr>
      </w:pPr>
      <w:r>
        <w:rPr>
          <w:rFonts w:hint="eastAsia" w:ascii="宋体" w:hAnsi="宋体"/>
          <w:sz w:val="24"/>
        </w:rPr>
        <w:t>出租方（以下称</w:t>
      </w:r>
      <w:r>
        <w:rPr>
          <w:rFonts w:hint="eastAsia" w:ascii="宋体" w:hAnsi="宋体"/>
          <w:b/>
          <w:sz w:val="24"/>
        </w:rPr>
        <w:t>甲方</w:t>
      </w:r>
      <w:r>
        <w:rPr>
          <w:rFonts w:hint="eastAsia" w:ascii="宋体" w:hAnsi="宋体"/>
          <w:sz w:val="24"/>
        </w:rPr>
        <w:t>）：</w:t>
      </w:r>
      <w:r>
        <w:rPr>
          <w:rFonts w:hint="eastAsia" w:ascii="宋体" w:hAnsi="宋体"/>
          <w:sz w:val="24"/>
          <w:u w:val="single"/>
        </w:rPr>
        <w:t>福建海峡银行股份有限公司</w:t>
      </w:r>
      <w:r>
        <w:rPr>
          <w:rFonts w:hint="eastAsia" w:ascii="宋体" w:hAnsi="宋体"/>
          <w:sz w:val="24"/>
          <w:u w:val="single"/>
          <w:lang w:val="en-US" w:eastAsia="zh-CN"/>
        </w:rPr>
        <w:t>长汀支行</w:t>
      </w:r>
    </w:p>
    <w:p>
      <w:pPr>
        <w:spacing w:line="348" w:lineRule="auto"/>
        <w:jc w:val="left"/>
        <w:rPr>
          <w:rFonts w:hint="eastAsia" w:ascii="宋体" w:hAnsi="宋体"/>
          <w:sz w:val="24"/>
          <w:lang w:val="en-US" w:eastAsia="zh-CN"/>
        </w:rPr>
      </w:pPr>
      <w:r>
        <w:rPr>
          <w:rFonts w:hint="eastAsia" w:ascii="宋体" w:hAnsi="宋体"/>
          <w:sz w:val="24"/>
        </w:rPr>
        <w:t>住所地：</w:t>
      </w:r>
      <w:r>
        <w:rPr>
          <w:rFonts w:hint="eastAsia" w:ascii="宋体" w:hAnsi="宋体"/>
          <w:sz w:val="24"/>
          <w:lang w:val="en-US" w:eastAsia="zh-CN"/>
        </w:rPr>
        <w:t>福建省长汀县汀州镇汀州大道北路60号</w:t>
      </w:r>
    </w:p>
    <w:p>
      <w:pPr>
        <w:spacing w:line="348" w:lineRule="auto"/>
        <w:jc w:val="left"/>
        <w:rPr>
          <w:rFonts w:ascii="宋体" w:hAnsi="宋体"/>
          <w:sz w:val="24"/>
          <w:u w:val="single"/>
        </w:rPr>
      </w:pPr>
      <w:r>
        <w:rPr>
          <w:rFonts w:hint="eastAsia" w:ascii="宋体" w:hAnsi="宋体"/>
          <w:sz w:val="24"/>
        </w:rPr>
        <w:t>营业执照号码：</w:t>
      </w:r>
      <w:r>
        <w:rPr>
          <w:rFonts w:hint="eastAsia" w:ascii="宋体" w:hAnsi="宋体"/>
          <w:sz w:val="24"/>
          <w:u w:val="single"/>
        </w:rPr>
        <w:t xml:space="preserve"> </w:t>
      </w:r>
      <w:r>
        <w:rPr>
          <w:rFonts w:hint="eastAsia" w:ascii="宋体" w:hAnsi="宋体"/>
          <w:sz w:val="24"/>
          <w:u w:val="single"/>
          <w:lang w:val="en-US" w:eastAsia="zh-CN"/>
        </w:rPr>
        <w:t>913508215875109655</w:t>
      </w:r>
      <w:r>
        <w:rPr>
          <w:rFonts w:hint="eastAsia" w:ascii="宋体" w:hAnsi="宋体"/>
          <w:sz w:val="24"/>
          <w:u w:val="single"/>
        </w:rPr>
        <w:t xml:space="preserve">                    </w:t>
      </w:r>
    </w:p>
    <w:p>
      <w:pPr>
        <w:spacing w:line="348" w:lineRule="auto"/>
        <w:jc w:val="left"/>
        <w:rPr>
          <w:rFonts w:ascii="宋体" w:hAnsi="宋体"/>
          <w:sz w:val="24"/>
          <w:u w:val="single"/>
        </w:rPr>
      </w:pPr>
      <w:r>
        <w:rPr>
          <w:rFonts w:hint="eastAsia" w:ascii="宋体" w:hAnsi="宋体"/>
          <w:sz w:val="24"/>
        </w:rPr>
        <w:t>法定代表人（负责人）：</w:t>
      </w:r>
      <w:r>
        <w:rPr>
          <w:rFonts w:hint="eastAsia" w:ascii="宋体" w:hAnsi="宋体"/>
          <w:sz w:val="24"/>
          <w:u w:val="single"/>
        </w:rPr>
        <w:t xml:space="preserve">  </w:t>
      </w:r>
      <w:r>
        <w:rPr>
          <w:rFonts w:hint="eastAsia" w:ascii="宋体" w:hAnsi="宋体"/>
          <w:sz w:val="24"/>
          <w:u w:val="single"/>
          <w:lang w:val="en-US" w:eastAsia="zh-CN"/>
        </w:rPr>
        <w:t>陈亮</w:t>
      </w:r>
      <w:r>
        <w:rPr>
          <w:rFonts w:hint="eastAsia" w:ascii="宋体" w:hAnsi="宋体"/>
          <w:sz w:val="24"/>
          <w:u w:val="single"/>
        </w:rPr>
        <w:t xml:space="preserve">           </w:t>
      </w:r>
    </w:p>
    <w:p>
      <w:pPr>
        <w:spacing w:line="348" w:lineRule="auto"/>
        <w:jc w:val="left"/>
        <w:rPr>
          <w:rFonts w:hint="default" w:ascii="宋体" w:hAnsi="宋体" w:eastAsia="宋体"/>
          <w:sz w:val="24"/>
          <w:u w:val="single"/>
          <w:lang w:val="en-US" w:eastAsia="zh-CN"/>
        </w:rPr>
      </w:pPr>
      <w:r>
        <w:rPr>
          <w:rFonts w:hint="eastAsia" w:ascii="宋体" w:hAnsi="宋体"/>
          <w:sz w:val="24"/>
        </w:rPr>
        <w:t>联系人：</w:t>
      </w:r>
      <w:r>
        <w:rPr>
          <w:rFonts w:hint="eastAsia" w:ascii="宋体" w:hAnsi="宋体"/>
          <w:sz w:val="24"/>
          <w:lang w:val="en-US" w:eastAsia="zh-CN"/>
        </w:rPr>
        <w:t>童六秀</w:t>
      </w:r>
    </w:p>
    <w:p>
      <w:pPr>
        <w:spacing w:line="348" w:lineRule="auto"/>
        <w:jc w:val="left"/>
        <w:rPr>
          <w:rFonts w:hint="default" w:ascii="宋体" w:hAnsi="宋体" w:eastAsia="宋体"/>
          <w:sz w:val="24"/>
          <w:u w:val="single"/>
          <w:lang w:val="en-US" w:eastAsia="zh-CN"/>
        </w:rPr>
      </w:pPr>
      <w:r>
        <w:rPr>
          <w:rFonts w:hint="eastAsia" w:ascii="宋体" w:hAnsi="宋体"/>
          <w:sz w:val="24"/>
        </w:rPr>
        <w:t>联系电话：</w:t>
      </w:r>
      <w:r>
        <w:rPr>
          <w:rFonts w:hint="eastAsia" w:ascii="宋体" w:hAnsi="宋体"/>
          <w:sz w:val="24"/>
          <w:lang w:val="en-US" w:eastAsia="zh-CN"/>
        </w:rPr>
        <w:t>13599624860</w:t>
      </w:r>
    </w:p>
    <w:p>
      <w:pPr>
        <w:spacing w:line="348" w:lineRule="auto"/>
        <w:jc w:val="left"/>
        <w:rPr>
          <w:rFonts w:ascii="宋体" w:hAnsi="宋体"/>
          <w:sz w:val="24"/>
        </w:rPr>
      </w:pPr>
    </w:p>
    <w:p>
      <w:pPr>
        <w:spacing w:line="348" w:lineRule="auto"/>
        <w:jc w:val="left"/>
        <w:rPr>
          <w:rFonts w:ascii="宋体" w:hAnsi="宋体"/>
          <w:sz w:val="24"/>
          <w:u w:val="single"/>
        </w:rPr>
      </w:pPr>
      <w:r>
        <w:rPr>
          <w:rFonts w:hint="eastAsia" w:ascii="宋体" w:hAnsi="宋体"/>
          <w:sz w:val="24"/>
        </w:rPr>
        <w:t>承租方（以下称</w:t>
      </w:r>
      <w:r>
        <w:rPr>
          <w:rFonts w:hint="eastAsia" w:ascii="宋体" w:hAnsi="宋体"/>
          <w:b/>
          <w:sz w:val="24"/>
        </w:rPr>
        <w:t>乙方</w:t>
      </w:r>
      <w:r>
        <w:rPr>
          <w:rFonts w:hint="eastAsia" w:ascii="宋体" w:hAnsi="宋体"/>
          <w:sz w:val="24"/>
        </w:rPr>
        <w:t>）：</w:t>
      </w:r>
      <w:r>
        <w:rPr>
          <w:rFonts w:hint="eastAsia" w:ascii="宋体" w:hAnsi="宋体"/>
          <w:sz w:val="24"/>
          <w:u w:val="single"/>
        </w:rPr>
        <w:t xml:space="preserve"> </w:t>
      </w:r>
      <w:r>
        <w:rPr>
          <w:rFonts w:hint="eastAsia" w:ascii="宋体" w:hAnsi="宋体"/>
          <w:sz w:val="24"/>
          <w:u w:val="single"/>
          <w:lang w:val="en-US" w:eastAsia="zh-CN"/>
        </w:rPr>
        <w:t xml:space="preserve">                             </w:t>
      </w:r>
      <w:r>
        <w:rPr>
          <w:rFonts w:hint="eastAsia" w:ascii="宋体" w:hAnsi="宋体"/>
          <w:sz w:val="24"/>
          <w:u w:val="single"/>
        </w:rPr>
        <w:t xml:space="preserve"> </w:t>
      </w:r>
    </w:p>
    <w:p>
      <w:pPr>
        <w:spacing w:line="348" w:lineRule="auto"/>
        <w:jc w:val="left"/>
        <w:rPr>
          <w:rFonts w:ascii="宋体" w:hAnsi="宋体"/>
          <w:sz w:val="24"/>
          <w:u w:val="single"/>
        </w:rPr>
      </w:pPr>
      <w:r>
        <w:rPr>
          <w:rFonts w:hint="eastAsia" w:ascii="宋体" w:hAnsi="宋体"/>
          <w:sz w:val="24"/>
        </w:rPr>
        <w:t>住所地：</w:t>
      </w:r>
      <w:r>
        <w:rPr>
          <w:rFonts w:hint="eastAsia" w:ascii="宋体" w:hAnsi="宋体"/>
          <w:sz w:val="24"/>
          <w:u w:val="single"/>
        </w:rPr>
        <w:t xml:space="preserve">                           </w:t>
      </w:r>
    </w:p>
    <w:p>
      <w:pPr>
        <w:spacing w:line="348" w:lineRule="auto"/>
        <w:jc w:val="left"/>
        <w:rPr>
          <w:rFonts w:ascii="宋体" w:hAnsi="宋体"/>
          <w:sz w:val="24"/>
          <w:u w:val="single"/>
        </w:rPr>
      </w:pPr>
      <w:r>
        <w:rPr>
          <w:rFonts w:hint="eastAsia" w:ascii="宋体" w:hAnsi="宋体"/>
          <w:sz w:val="24"/>
        </w:rPr>
        <w:t>营业执照号码：</w:t>
      </w:r>
      <w:r>
        <w:rPr>
          <w:rFonts w:hint="eastAsia" w:ascii="宋体" w:hAnsi="宋体"/>
          <w:sz w:val="24"/>
          <w:u w:val="single"/>
        </w:rPr>
        <w:t xml:space="preserve">                     </w:t>
      </w:r>
    </w:p>
    <w:p>
      <w:pPr>
        <w:spacing w:line="348" w:lineRule="auto"/>
        <w:jc w:val="left"/>
        <w:rPr>
          <w:rFonts w:ascii="宋体" w:hAnsi="宋体"/>
          <w:sz w:val="24"/>
          <w:u w:val="single"/>
        </w:rPr>
      </w:pPr>
      <w:r>
        <w:rPr>
          <w:rFonts w:hint="eastAsia" w:ascii="宋体" w:hAnsi="宋体"/>
          <w:sz w:val="24"/>
        </w:rPr>
        <w:t>法定代表人（负责人）：</w:t>
      </w:r>
      <w:r>
        <w:rPr>
          <w:rFonts w:hint="eastAsia" w:ascii="宋体" w:hAnsi="宋体"/>
          <w:sz w:val="24"/>
          <w:u w:val="single"/>
        </w:rPr>
        <w:t xml:space="preserve">         </w:t>
      </w:r>
    </w:p>
    <w:p>
      <w:pPr>
        <w:spacing w:line="348" w:lineRule="auto"/>
        <w:jc w:val="left"/>
        <w:rPr>
          <w:rFonts w:ascii="宋体" w:hAnsi="宋体"/>
          <w:sz w:val="24"/>
          <w:u w:val="single"/>
        </w:rPr>
      </w:pPr>
      <w:r>
        <w:rPr>
          <w:rFonts w:hint="eastAsia" w:ascii="宋体" w:hAnsi="宋体"/>
          <w:sz w:val="24"/>
        </w:rPr>
        <w:t>联系人：</w:t>
      </w:r>
    </w:p>
    <w:p>
      <w:pPr>
        <w:spacing w:line="348" w:lineRule="auto"/>
        <w:jc w:val="left"/>
        <w:rPr>
          <w:rFonts w:ascii="宋体" w:hAnsi="宋体"/>
          <w:sz w:val="24"/>
        </w:rPr>
      </w:pPr>
      <w:r>
        <w:rPr>
          <w:rFonts w:hint="eastAsia" w:ascii="宋体" w:hAnsi="宋体"/>
          <w:sz w:val="24"/>
        </w:rPr>
        <w:t>联系电话：</w:t>
      </w:r>
    </w:p>
    <w:p>
      <w:pPr>
        <w:spacing w:line="348" w:lineRule="auto"/>
        <w:jc w:val="left"/>
        <w:rPr>
          <w:rFonts w:ascii="宋体" w:hAnsi="宋体"/>
          <w:sz w:val="24"/>
        </w:rPr>
      </w:pPr>
    </w:p>
    <w:p>
      <w:pPr>
        <w:spacing w:line="348" w:lineRule="auto"/>
        <w:ind w:left="-2" w:leftChars="-1" w:firstLine="480" w:firstLineChars="200"/>
        <w:rPr>
          <w:rFonts w:ascii="宋体" w:hAnsi="宋体"/>
          <w:sz w:val="24"/>
        </w:rPr>
      </w:pPr>
      <w:r>
        <w:rPr>
          <w:rFonts w:hint="eastAsia" w:ascii="宋体" w:hAnsi="宋体"/>
          <w:sz w:val="24"/>
        </w:rPr>
        <w:t>甲、乙双方依据《中华人民共和国</w:t>
      </w:r>
      <w:r>
        <w:rPr>
          <w:rFonts w:hint="eastAsia" w:ascii="宋体" w:hAnsi="宋体"/>
          <w:sz w:val="24"/>
          <w:lang w:eastAsia="zh-CN"/>
        </w:rPr>
        <w:t>民法典</w:t>
      </w:r>
      <w:r>
        <w:rPr>
          <w:rFonts w:hint="eastAsia" w:ascii="宋体" w:hAnsi="宋体"/>
          <w:sz w:val="24"/>
        </w:rPr>
        <w:t>》及有关法律、法规的规定，在平等、自愿的基础上经协商一致，就乙方向甲方承租房屋事宜订立条款如下：</w:t>
      </w:r>
    </w:p>
    <w:p>
      <w:pPr>
        <w:spacing w:line="348" w:lineRule="auto"/>
        <w:ind w:firstLine="482" w:firstLineChars="200"/>
        <w:rPr>
          <w:rFonts w:ascii="宋体" w:hAnsi="宋体"/>
          <w:b/>
          <w:sz w:val="24"/>
        </w:rPr>
      </w:pPr>
      <w:r>
        <w:rPr>
          <w:rFonts w:hint="eastAsia" w:ascii="宋体" w:hAnsi="宋体"/>
          <w:b/>
          <w:sz w:val="24"/>
        </w:rPr>
        <w:t>第一条租赁物基本情况及租赁用途等</w:t>
      </w:r>
    </w:p>
    <w:p>
      <w:pPr>
        <w:tabs>
          <w:tab w:val="left" w:pos="7245"/>
        </w:tabs>
        <w:spacing w:line="348" w:lineRule="auto"/>
        <w:ind w:firstLine="361" w:firstLineChars="150"/>
        <w:rPr>
          <w:rFonts w:ascii="宋体" w:hAnsi="宋体"/>
          <w:b/>
          <w:sz w:val="24"/>
        </w:rPr>
      </w:pPr>
      <w:r>
        <w:rPr>
          <w:rFonts w:hint="eastAsia" w:ascii="宋体" w:hAnsi="宋体"/>
          <w:b/>
          <w:sz w:val="24"/>
        </w:rPr>
        <w:t>（一）租赁物基本情况</w:t>
      </w:r>
      <w:r>
        <w:rPr>
          <w:rFonts w:ascii="宋体" w:hAnsi="宋体"/>
          <w:b/>
          <w:sz w:val="24"/>
        </w:rPr>
        <w:tab/>
      </w:r>
    </w:p>
    <w:p>
      <w:pPr>
        <w:spacing w:line="348" w:lineRule="auto"/>
        <w:ind w:firstLine="480" w:firstLineChars="200"/>
        <w:rPr>
          <w:rFonts w:hint="default" w:ascii="宋体" w:hAnsi="宋体" w:eastAsia="宋体"/>
          <w:sz w:val="24"/>
          <w:lang w:val="en-US" w:eastAsia="zh-CN"/>
        </w:rPr>
      </w:pPr>
      <w:r>
        <w:rPr>
          <w:rFonts w:hint="eastAsia" w:ascii="宋体" w:hAnsi="宋体"/>
          <w:sz w:val="24"/>
        </w:rPr>
        <w:t>租赁物坐落于</w:t>
      </w:r>
      <w:r>
        <w:rPr>
          <w:rFonts w:hint="eastAsia" w:ascii="宋体" w:hAnsi="宋体"/>
          <w:sz w:val="24"/>
          <w:u w:val="single"/>
          <w:lang w:val="en-US" w:eastAsia="zh-CN"/>
        </w:rPr>
        <w:t xml:space="preserve"> 长汀县汀州首府裙房第二层41、42、45号房产酉侧部分办公区域</w:t>
      </w:r>
      <w:r>
        <w:rPr>
          <w:rFonts w:hint="eastAsia" w:ascii="宋体" w:hAnsi="宋体"/>
          <w:sz w:val="24"/>
          <w:u w:val="none"/>
        </w:rPr>
        <w:t>，</w:t>
      </w:r>
      <w:r>
        <w:rPr>
          <w:rFonts w:hint="eastAsia" w:ascii="宋体" w:hAnsi="宋体"/>
          <w:sz w:val="24"/>
        </w:rPr>
        <w:t>租赁物建筑面积</w:t>
      </w:r>
      <w:r>
        <w:rPr>
          <w:rFonts w:hint="eastAsia" w:ascii="宋体" w:hAnsi="宋体"/>
          <w:sz w:val="24"/>
          <w:u w:val="none"/>
          <w:lang w:eastAsia="zh-CN"/>
        </w:rPr>
        <w:t>（计租面积）</w:t>
      </w:r>
      <w:r>
        <w:rPr>
          <w:rFonts w:hint="eastAsia" w:ascii="宋体" w:hAnsi="宋体"/>
          <w:sz w:val="24"/>
        </w:rPr>
        <w:t>为</w:t>
      </w:r>
      <w:r>
        <w:rPr>
          <w:rFonts w:hint="eastAsia" w:ascii="宋体" w:hAnsi="宋体"/>
          <w:sz w:val="24"/>
          <w:u w:val="single"/>
        </w:rPr>
        <w:t xml:space="preserve"> </w:t>
      </w:r>
      <w:r>
        <w:rPr>
          <w:rFonts w:hint="eastAsia" w:ascii="宋体" w:hAnsi="宋体"/>
          <w:sz w:val="24"/>
          <w:u w:val="single"/>
          <w:lang w:val="en-US" w:eastAsia="zh-CN"/>
        </w:rPr>
        <w:t xml:space="preserve"> 328.08  </w:t>
      </w:r>
      <w:r>
        <w:rPr>
          <w:rFonts w:hint="eastAsia" w:ascii="宋体" w:hAnsi="宋体"/>
          <w:sz w:val="24"/>
          <w:u w:val="single"/>
        </w:rPr>
        <w:t xml:space="preserve"> </w:t>
      </w:r>
      <w:r>
        <w:rPr>
          <w:rFonts w:hint="eastAsia" w:ascii="宋体" w:hAnsi="宋体"/>
          <w:sz w:val="24"/>
          <w:u w:val="none"/>
        </w:rPr>
        <w:t>平方米</w:t>
      </w:r>
      <w:r>
        <w:rPr>
          <w:rFonts w:hint="eastAsia" w:ascii="宋体" w:hAnsi="宋体"/>
          <w:sz w:val="24"/>
        </w:rPr>
        <w:t>。</w:t>
      </w:r>
      <w:r>
        <w:rPr>
          <w:rFonts w:hint="eastAsia" w:ascii="宋体" w:hAnsi="宋体"/>
          <w:sz w:val="24"/>
          <w:lang w:eastAsia="zh-CN"/>
        </w:rPr>
        <w:t>租赁物用途：</w:t>
      </w:r>
      <w:r>
        <w:rPr>
          <w:rFonts w:hint="eastAsia" w:ascii="宋体" w:hAnsi="宋体"/>
          <w:sz w:val="24"/>
          <w:u w:val="single"/>
          <w:lang w:val="en-US" w:eastAsia="zh-CN"/>
        </w:rPr>
        <w:t xml:space="preserve">  办公     </w:t>
      </w:r>
      <w:r>
        <w:rPr>
          <w:rFonts w:hint="eastAsia" w:ascii="宋体" w:hAnsi="宋体"/>
          <w:sz w:val="24"/>
          <w:lang w:val="en-US" w:eastAsia="zh-CN"/>
        </w:rPr>
        <w:t>。</w:t>
      </w:r>
    </w:p>
    <w:p>
      <w:pPr>
        <w:spacing w:line="348" w:lineRule="auto"/>
        <w:ind w:firstLine="361" w:firstLineChars="150"/>
        <w:rPr>
          <w:rFonts w:ascii="宋体" w:hAnsi="宋体"/>
          <w:b/>
          <w:bCs/>
          <w:sz w:val="24"/>
        </w:rPr>
      </w:pPr>
      <w:r>
        <w:rPr>
          <w:rFonts w:hint="eastAsia" w:ascii="宋体" w:hAnsi="宋体"/>
          <w:b/>
          <w:bCs/>
          <w:sz w:val="24"/>
        </w:rPr>
        <w:t>（二）租赁物权属情况</w:t>
      </w:r>
    </w:p>
    <w:p>
      <w:pPr>
        <w:spacing w:line="348" w:lineRule="auto"/>
        <w:ind w:firstLine="480" w:firstLineChars="200"/>
        <w:rPr>
          <w:rFonts w:ascii="宋体" w:hAnsi="宋体"/>
          <w:b/>
          <w:sz w:val="24"/>
        </w:rPr>
      </w:pPr>
      <w:r>
        <w:rPr>
          <w:rFonts w:hint="eastAsia" w:ascii="宋体" w:hAnsi="宋体"/>
          <w:sz w:val="24"/>
        </w:rPr>
        <w:t>房屋租赁期间，因租赁房屋存在抵押权、新设置抵押权、</w:t>
      </w:r>
      <w:r>
        <w:rPr>
          <w:rFonts w:hint="eastAsia" w:ascii="宋体" w:hAnsi="宋体"/>
          <w:sz w:val="24"/>
          <w:lang w:eastAsia="zh-CN"/>
        </w:rPr>
        <w:t>居住权或存在其它权利负担，或者出现</w:t>
      </w:r>
      <w:r>
        <w:rPr>
          <w:rFonts w:hint="eastAsia" w:ascii="宋体" w:hAnsi="宋体"/>
          <w:sz w:val="24"/>
        </w:rPr>
        <w:t>房屋被查封、转让或拍卖等</w:t>
      </w:r>
      <w:r>
        <w:rPr>
          <w:rFonts w:hint="eastAsia" w:ascii="宋体" w:hAnsi="宋体"/>
          <w:sz w:val="24"/>
          <w:lang w:eastAsia="zh-CN"/>
        </w:rPr>
        <w:t>影响</w:t>
      </w:r>
      <w:r>
        <w:rPr>
          <w:rFonts w:hint="eastAsia" w:ascii="宋体" w:hAnsi="宋体"/>
          <w:sz w:val="24"/>
        </w:rPr>
        <w:t>乙方继续使用情形</w:t>
      </w:r>
      <w:r>
        <w:rPr>
          <w:rFonts w:hint="eastAsia" w:ascii="宋体" w:hAnsi="宋体"/>
          <w:sz w:val="24"/>
          <w:lang w:eastAsia="zh-CN"/>
        </w:rPr>
        <w:t>的</w:t>
      </w:r>
      <w:r>
        <w:rPr>
          <w:rFonts w:hint="eastAsia" w:ascii="宋体" w:hAnsi="宋体"/>
          <w:sz w:val="24"/>
        </w:rPr>
        <w:t>，乙方有权单方解除本合同。</w:t>
      </w:r>
    </w:p>
    <w:p>
      <w:pPr>
        <w:spacing w:line="348" w:lineRule="auto"/>
        <w:ind w:firstLine="361" w:firstLineChars="150"/>
        <w:rPr>
          <w:rFonts w:ascii="宋体" w:hAnsi="宋体"/>
          <w:b/>
          <w:sz w:val="24"/>
        </w:rPr>
      </w:pPr>
      <w:r>
        <w:rPr>
          <w:rFonts w:hint="eastAsia" w:ascii="宋体" w:hAnsi="宋体"/>
          <w:b/>
          <w:sz w:val="24"/>
        </w:rPr>
        <w:t>第二条租赁期限及</w:t>
      </w:r>
      <w:r>
        <w:rPr>
          <w:rFonts w:ascii="宋体" w:hAnsi="宋体"/>
          <w:b/>
          <w:sz w:val="24"/>
        </w:rPr>
        <w:t>装修约定</w:t>
      </w:r>
    </w:p>
    <w:p>
      <w:pPr>
        <w:numPr>
          <w:ilvl w:val="0"/>
          <w:numId w:val="1"/>
        </w:numPr>
        <w:spacing w:line="348" w:lineRule="auto"/>
        <w:rPr>
          <w:rFonts w:ascii="宋体" w:hAnsi="宋体"/>
          <w:b/>
          <w:sz w:val="24"/>
        </w:rPr>
      </w:pPr>
      <w:r>
        <w:rPr>
          <w:rFonts w:hint="eastAsia" w:ascii="宋体" w:hAnsi="宋体"/>
          <w:b/>
          <w:sz w:val="24"/>
        </w:rPr>
        <w:t>租赁期限</w:t>
      </w:r>
    </w:p>
    <w:p>
      <w:pPr>
        <w:spacing w:line="348" w:lineRule="auto"/>
        <w:ind w:firstLine="480" w:firstLineChars="200"/>
        <w:rPr>
          <w:rFonts w:ascii="宋体" w:hAnsi="宋体"/>
          <w:sz w:val="24"/>
        </w:rPr>
      </w:pPr>
      <w:r>
        <w:rPr>
          <w:rFonts w:hint="eastAsia" w:ascii="宋体" w:hAnsi="宋体"/>
          <w:sz w:val="24"/>
        </w:rPr>
        <w:t>1、自</w:t>
      </w:r>
      <w:r>
        <w:rPr>
          <w:rFonts w:hint="eastAsia" w:ascii="宋体" w:hAnsi="宋体"/>
          <w:sz w:val="24"/>
          <w:u w:val="single"/>
          <w:lang w:val="en-US" w:eastAsia="zh-CN"/>
        </w:rPr>
        <w:t xml:space="preserve">     </w:t>
      </w:r>
      <w:r>
        <w:rPr>
          <w:rFonts w:hint="eastAsia" w:ascii="宋体" w:hAnsi="宋体"/>
          <w:sz w:val="24"/>
        </w:rPr>
        <w:t>年</w:t>
      </w:r>
      <w:r>
        <w:rPr>
          <w:rFonts w:hint="eastAsia" w:ascii="宋体" w:hAnsi="宋体"/>
          <w:sz w:val="24"/>
          <w:u w:val="single"/>
          <w:lang w:val="en-US" w:eastAsia="zh-CN"/>
        </w:rPr>
        <w:t xml:space="preserve">  </w:t>
      </w:r>
      <w:r>
        <w:rPr>
          <w:rFonts w:hint="eastAsia" w:ascii="宋体" w:hAnsi="宋体"/>
          <w:sz w:val="24"/>
        </w:rPr>
        <w:t>月</w:t>
      </w:r>
      <w:r>
        <w:rPr>
          <w:rFonts w:hint="eastAsia" w:ascii="宋体" w:hAnsi="宋体"/>
          <w:sz w:val="24"/>
          <w:u w:val="single"/>
          <w:lang w:val="en-US" w:eastAsia="zh-CN"/>
        </w:rPr>
        <w:t xml:space="preserve">   </w:t>
      </w:r>
      <w:r>
        <w:rPr>
          <w:rFonts w:hint="eastAsia" w:ascii="宋体" w:hAnsi="宋体"/>
          <w:sz w:val="24"/>
        </w:rPr>
        <w:t>日（起租日）至</w:t>
      </w:r>
      <w:r>
        <w:rPr>
          <w:rFonts w:hint="eastAsia" w:ascii="宋体" w:hAnsi="宋体"/>
          <w:sz w:val="24"/>
          <w:u w:val="single"/>
        </w:rPr>
        <w:t xml:space="preserve"> </w:t>
      </w:r>
      <w:r>
        <w:rPr>
          <w:rFonts w:hint="eastAsia" w:ascii="宋体" w:hAnsi="宋体"/>
          <w:sz w:val="24"/>
          <w:u w:val="single"/>
          <w:lang w:val="en-US" w:eastAsia="zh-CN"/>
        </w:rPr>
        <w:t xml:space="preserve">   </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lang w:val="en-US" w:eastAsia="zh-CN"/>
        </w:rPr>
        <w:t xml:space="preserve">   </w:t>
      </w:r>
      <w:r>
        <w:rPr>
          <w:rFonts w:hint="eastAsia" w:ascii="宋体" w:hAnsi="宋体"/>
          <w:sz w:val="24"/>
        </w:rPr>
        <w:t>月</w:t>
      </w:r>
      <w:r>
        <w:rPr>
          <w:rFonts w:hint="eastAsia" w:ascii="宋体" w:hAnsi="宋体"/>
          <w:sz w:val="24"/>
          <w:u w:val="single"/>
          <w:lang w:val="en-US" w:eastAsia="zh-CN"/>
        </w:rPr>
        <w:t xml:space="preserve">   </w:t>
      </w:r>
      <w:r>
        <w:rPr>
          <w:rFonts w:hint="eastAsia" w:ascii="宋体" w:hAnsi="宋体"/>
          <w:sz w:val="24"/>
        </w:rPr>
        <w:t>日，</w:t>
      </w:r>
      <w:r>
        <w:rPr>
          <w:rFonts w:hint="eastAsia" w:ascii="宋体" w:hAnsi="宋体"/>
          <w:sz w:val="24"/>
          <w:lang w:eastAsia="zh-CN"/>
        </w:rPr>
        <w:t>无免租期</w:t>
      </w:r>
      <w:r>
        <w:rPr>
          <w:rFonts w:hint="eastAsia" w:ascii="宋体" w:hAnsi="宋体"/>
          <w:sz w:val="24"/>
        </w:rPr>
        <w:t>。</w:t>
      </w:r>
    </w:p>
    <w:p>
      <w:pPr>
        <w:spacing w:line="348" w:lineRule="auto"/>
        <w:ind w:firstLine="480" w:firstLineChars="200"/>
        <w:rPr>
          <w:rFonts w:ascii="宋体" w:hAnsi="宋体"/>
          <w:sz w:val="24"/>
        </w:rPr>
      </w:pPr>
      <w:r>
        <w:rPr>
          <w:rFonts w:hint="eastAsia" w:ascii="宋体" w:hAnsi="宋体"/>
          <w:sz w:val="24"/>
        </w:rPr>
        <w:t>2、甲方应在本合同生效之日起</w:t>
      </w:r>
      <w:r>
        <w:rPr>
          <w:rFonts w:hint="eastAsia" w:ascii="宋体" w:hAnsi="宋体"/>
          <w:sz w:val="24"/>
          <w:lang w:val="en-US" w:eastAsia="zh-CN"/>
        </w:rPr>
        <w:t>10</w:t>
      </w:r>
      <w:r>
        <w:rPr>
          <w:rFonts w:hint="eastAsia" w:ascii="宋体" w:hAnsi="宋体"/>
          <w:sz w:val="24"/>
        </w:rPr>
        <w:t>日内向乙方交付合同约定的租赁物，甲方交付乙方的租赁物应为适租状态。</w:t>
      </w:r>
    </w:p>
    <w:p>
      <w:pPr>
        <w:spacing w:line="348" w:lineRule="auto"/>
        <w:ind w:firstLine="480" w:firstLineChars="200"/>
        <w:rPr>
          <w:rFonts w:ascii="宋体" w:hAnsi="宋体"/>
          <w:b/>
          <w:sz w:val="24"/>
        </w:rPr>
      </w:pPr>
      <w:r>
        <w:rPr>
          <w:rFonts w:hint="eastAsia" w:ascii="宋体" w:hAnsi="宋体"/>
          <w:sz w:val="24"/>
        </w:rPr>
        <w:t>3、若甲方在起租日前将房屋腾空并交付给乙方的，仍以本合同约定的起租日为租赁期间的起始日，交付日至租赁期限起始日之间的期间，乙方无需支付租金费用。如甲方在约定的起租日后将房屋交付乙方使用的，则租赁期限等比例顺延。</w:t>
      </w:r>
    </w:p>
    <w:p>
      <w:pPr>
        <w:numPr>
          <w:ilvl w:val="0"/>
          <w:numId w:val="1"/>
        </w:numPr>
        <w:spacing w:line="348" w:lineRule="auto"/>
        <w:rPr>
          <w:rFonts w:ascii="宋体" w:hAnsi="宋体"/>
          <w:b/>
          <w:sz w:val="24"/>
        </w:rPr>
      </w:pPr>
      <w:r>
        <w:rPr>
          <w:rFonts w:hint="eastAsia" w:ascii="宋体" w:hAnsi="宋体"/>
          <w:b/>
          <w:sz w:val="24"/>
        </w:rPr>
        <w:t>甲方同意乙方对租赁物进行装修，达成约定如下：</w:t>
      </w:r>
    </w:p>
    <w:p>
      <w:pPr>
        <w:spacing w:line="348" w:lineRule="auto"/>
        <w:ind w:firstLine="480" w:firstLineChars="200"/>
        <w:rPr>
          <w:rFonts w:ascii="宋体" w:hAnsi="宋体"/>
          <w:sz w:val="24"/>
        </w:rPr>
      </w:pPr>
      <w:r>
        <w:rPr>
          <w:rFonts w:ascii="宋体" w:hAnsi="宋体"/>
          <w:sz w:val="24"/>
        </w:rPr>
        <w:t>1、除甲、乙双方另行达成一致意见的，装修不得改变租赁物主体结构。</w:t>
      </w:r>
      <w:r>
        <w:rPr>
          <w:rFonts w:hint="eastAsia" w:ascii="宋体" w:hAnsi="宋体"/>
          <w:sz w:val="24"/>
        </w:rPr>
        <w:t>不得破坏外墙玻璃幕墙、设备用房、核心筒设施设备，核心筒天地墙饰面、东西侧空中花园。</w:t>
      </w:r>
    </w:p>
    <w:p>
      <w:pPr>
        <w:spacing w:line="348" w:lineRule="auto"/>
        <w:ind w:firstLine="480" w:firstLineChars="200"/>
        <w:rPr>
          <w:rFonts w:ascii="宋体" w:hAnsi="宋体"/>
          <w:sz w:val="24"/>
        </w:rPr>
      </w:pPr>
      <w:r>
        <w:rPr>
          <w:rFonts w:ascii="宋体" w:hAnsi="宋体"/>
          <w:sz w:val="24"/>
        </w:rPr>
        <w:t>2、装修费用由乙方承担。</w:t>
      </w:r>
    </w:p>
    <w:p>
      <w:pPr>
        <w:spacing w:line="348" w:lineRule="auto"/>
        <w:ind w:firstLine="480" w:firstLineChars="200"/>
        <w:rPr>
          <w:rFonts w:ascii="宋体" w:hAnsi="宋体"/>
          <w:sz w:val="24"/>
        </w:rPr>
      </w:pPr>
      <w:r>
        <w:rPr>
          <w:rFonts w:hint="eastAsia" w:ascii="宋体" w:hAnsi="宋体"/>
          <w:sz w:val="24"/>
        </w:rPr>
        <w:t>3、装修事宜其他约定事项：</w:t>
      </w:r>
    </w:p>
    <w:p>
      <w:pPr>
        <w:spacing w:line="348" w:lineRule="auto"/>
        <w:ind w:firstLine="360" w:firstLineChars="150"/>
        <w:rPr>
          <w:rFonts w:ascii="宋体" w:hAnsi="宋体"/>
          <w:sz w:val="24"/>
        </w:rPr>
      </w:pPr>
      <w:r>
        <w:rPr>
          <w:rFonts w:hint="eastAsia" w:ascii="宋体" w:hAnsi="宋体"/>
          <w:sz w:val="24"/>
        </w:rPr>
        <w:t>（1）乙方</w:t>
      </w:r>
      <w:r>
        <w:rPr>
          <w:rFonts w:ascii="宋体" w:hAnsi="宋体"/>
          <w:sz w:val="24"/>
        </w:rPr>
        <w:t>委托的装修</w:t>
      </w:r>
      <w:r>
        <w:rPr>
          <w:rFonts w:hint="eastAsia" w:ascii="宋体" w:hAnsi="宋体"/>
          <w:sz w:val="24"/>
        </w:rPr>
        <w:t>、</w:t>
      </w:r>
      <w:r>
        <w:rPr>
          <w:rFonts w:ascii="宋体" w:hAnsi="宋体"/>
          <w:sz w:val="24"/>
        </w:rPr>
        <w:t>消防、</w:t>
      </w:r>
      <w:r>
        <w:rPr>
          <w:rFonts w:hint="eastAsia" w:ascii="宋体" w:hAnsi="宋体"/>
          <w:sz w:val="24"/>
        </w:rPr>
        <w:t>智能化、</w:t>
      </w:r>
      <w:r>
        <w:rPr>
          <w:rFonts w:ascii="宋体" w:hAnsi="宋体"/>
          <w:sz w:val="24"/>
        </w:rPr>
        <w:t>安防施工单位</w:t>
      </w:r>
      <w:r>
        <w:rPr>
          <w:rFonts w:hint="eastAsia" w:ascii="宋体" w:hAnsi="宋体"/>
          <w:sz w:val="24"/>
        </w:rPr>
        <w:t>应</w:t>
      </w:r>
      <w:r>
        <w:rPr>
          <w:rFonts w:ascii="宋体" w:hAnsi="宋体"/>
          <w:sz w:val="24"/>
        </w:rPr>
        <w:t>具备</w:t>
      </w:r>
      <w:r>
        <w:rPr>
          <w:rFonts w:hint="eastAsia" w:ascii="宋体" w:hAnsi="宋体"/>
          <w:sz w:val="24"/>
        </w:rPr>
        <w:t>相应</w:t>
      </w:r>
      <w:r>
        <w:rPr>
          <w:rFonts w:ascii="宋体" w:hAnsi="宋体"/>
          <w:sz w:val="24"/>
        </w:rPr>
        <w:t>的资质标准，并由</w:t>
      </w:r>
      <w:r>
        <w:rPr>
          <w:rFonts w:hint="eastAsia" w:ascii="宋体" w:hAnsi="宋体"/>
          <w:sz w:val="24"/>
        </w:rPr>
        <w:t>具备</w:t>
      </w:r>
      <w:r>
        <w:rPr>
          <w:rFonts w:ascii="宋体" w:hAnsi="宋体"/>
          <w:sz w:val="24"/>
        </w:rPr>
        <w:t>资格的项目</w:t>
      </w:r>
      <w:r>
        <w:rPr>
          <w:rFonts w:hint="eastAsia" w:ascii="宋体" w:hAnsi="宋体"/>
          <w:sz w:val="24"/>
        </w:rPr>
        <w:t>经理负责全过程施工</w:t>
      </w:r>
      <w:r>
        <w:rPr>
          <w:rFonts w:ascii="宋体" w:hAnsi="宋体"/>
          <w:sz w:val="24"/>
        </w:rPr>
        <w:t>，</w:t>
      </w:r>
      <w:r>
        <w:rPr>
          <w:rFonts w:hint="eastAsia" w:ascii="宋体" w:hAnsi="宋体"/>
          <w:sz w:val="24"/>
        </w:rPr>
        <w:t>施工</w:t>
      </w:r>
      <w:r>
        <w:rPr>
          <w:rFonts w:ascii="宋体" w:hAnsi="宋体"/>
          <w:sz w:val="24"/>
        </w:rPr>
        <w:t>单位及</w:t>
      </w:r>
      <w:r>
        <w:rPr>
          <w:rFonts w:hint="eastAsia" w:ascii="宋体" w:hAnsi="宋体"/>
          <w:sz w:val="24"/>
        </w:rPr>
        <w:t>项目</w:t>
      </w:r>
      <w:r>
        <w:rPr>
          <w:rFonts w:ascii="宋体" w:hAnsi="宋体"/>
          <w:sz w:val="24"/>
        </w:rPr>
        <w:t>班组</w:t>
      </w:r>
      <w:r>
        <w:rPr>
          <w:rFonts w:hint="eastAsia" w:ascii="宋体" w:hAnsi="宋体"/>
          <w:sz w:val="24"/>
        </w:rPr>
        <w:t>人员应事先</w:t>
      </w:r>
      <w:r>
        <w:rPr>
          <w:rFonts w:ascii="宋体" w:hAnsi="宋体"/>
          <w:sz w:val="24"/>
        </w:rPr>
        <w:t>报甲方</w:t>
      </w:r>
      <w:r>
        <w:rPr>
          <w:rFonts w:hint="eastAsia" w:ascii="宋体" w:hAnsi="宋体"/>
          <w:sz w:val="24"/>
        </w:rPr>
        <w:t>同意后</w:t>
      </w:r>
      <w:r>
        <w:rPr>
          <w:rFonts w:ascii="宋体" w:hAnsi="宋体"/>
          <w:sz w:val="24"/>
        </w:rPr>
        <w:t>进场</w:t>
      </w:r>
      <w:r>
        <w:rPr>
          <w:rFonts w:hint="eastAsia" w:ascii="宋体" w:hAnsi="宋体"/>
          <w:sz w:val="24"/>
        </w:rPr>
        <w:t>。</w:t>
      </w:r>
    </w:p>
    <w:p>
      <w:pPr>
        <w:spacing w:line="348" w:lineRule="auto"/>
        <w:ind w:firstLine="360" w:firstLineChars="150"/>
        <w:rPr>
          <w:rFonts w:ascii="宋体" w:hAnsi="宋体"/>
          <w:sz w:val="24"/>
        </w:rPr>
      </w:pPr>
      <w:r>
        <w:rPr>
          <w:rFonts w:hint="eastAsia" w:ascii="宋体" w:hAnsi="宋体"/>
          <w:sz w:val="24"/>
        </w:rPr>
        <w:t>（2）乙方</w:t>
      </w:r>
      <w:r>
        <w:rPr>
          <w:rFonts w:ascii="宋体" w:hAnsi="宋体"/>
          <w:sz w:val="24"/>
        </w:rPr>
        <w:t>现场施工人员</w:t>
      </w:r>
      <w:r>
        <w:rPr>
          <w:rFonts w:hint="eastAsia" w:ascii="宋体" w:hAnsi="宋体"/>
          <w:sz w:val="24"/>
        </w:rPr>
        <w:t>进出</w:t>
      </w:r>
      <w:r>
        <w:rPr>
          <w:rFonts w:ascii="宋体" w:hAnsi="宋体"/>
          <w:sz w:val="24"/>
        </w:rPr>
        <w:t>大楼</w:t>
      </w:r>
      <w:r>
        <w:rPr>
          <w:rFonts w:hint="eastAsia" w:ascii="宋体" w:hAnsi="宋体"/>
          <w:sz w:val="24"/>
        </w:rPr>
        <w:t>应服从</w:t>
      </w:r>
      <w:r>
        <w:rPr>
          <w:rFonts w:ascii="宋体" w:hAnsi="宋体"/>
          <w:sz w:val="24"/>
        </w:rPr>
        <w:t>甲方物业</w:t>
      </w:r>
      <w:r>
        <w:rPr>
          <w:rFonts w:hint="eastAsia" w:ascii="宋体" w:hAnsi="宋体"/>
          <w:sz w:val="24"/>
        </w:rPr>
        <w:t>部门统一</w:t>
      </w:r>
      <w:r>
        <w:rPr>
          <w:rFonts w:ascii="宋体" w:hAnsi="宋体"/>
          <w:sz w:val="24"/>
        </w:rPr>
        <w:t>管理</w:t>
      </w:r>
      <w:r>
        <w:rPr>
          <w:rFonts w:hint="eastAsia" w:ascii="宋体" w:hAnsi="宋体"/>
          <w:sz w:val="24"/>
        </w:rPr>
        <w:t>，相关</w:t>
      </w:r>
      <w:r>
        <w:rPr>
          <w:rFonts w:ascii="宋体" w:hAnsi="宋体"/>
          <w:sz w:val="24"/>
        </w:rPr>
        <w:t>人员应</w:t>
      </w:r>
      <w:r>
        <w:rPr>
          <w:rFonts w:hint="eastAsia" w:ascii="宋体" w:hAnsi="宋体"/>
          <w:sz w:val="24"/>
        </w:rPr>
        <w:t>提供</w:t>
      </w:r>
      <w:r>
        <w:rPr>
          <w:rFonts w:ascii="宋体" w:hAnsi="宋体"/>
          <w:sz w:val="24"/>
        </w:rPr>
        <w:t>身份证明材料由甲方办理进出场</w:t>
      </w:r>
      <w:r>
        <w:rPr>
          <w:rFonts w:hint="eastAsia" w:ascii="宋体" w:hAnsi="宋体"/>
          <w:sz w:val="24"/>
        </w:rPr>
        <w:t>门禁卡</w:t>
      </w:r>
      <w:r>
        <w:rPr>
          <w:rFonts w:ascii="宋体" w:hAnsi="宋体"/>
          <w:sz w:val="24"/>
        </w:rPr>
        <w:t>。</w:t>
      </w:r>
    </w:p>
    <w:p>
      <w:pPr>
        <w:spacing w:line="348" w:lineRule="auto"/>
        <w:ind w:firstLine="360" w:firstLineChars="150"/>
        <w:rPr>
          <w:rFonts w:ascii="宋体" w:hAnsi="宋体"/>
          <w:sz w:val="24"/>
        </w:rPr>
      </w:pPr>
      <w:r>
        <w:rPr>
          <w:rFonts w:hint="eastAsia" w:ascii="宋体" w:hAnsi="宋体"/>
          <w:sz w:val="24"/>
        </w:rPr>
        <w:t>（3）乙方</w:t>
      </w:r>
      <w:r>
        <w:rPr>
          <w:rFonts w:ascii="宋体" w:hAnsi="宋体"/>
          <w:sz w:val="24"/>
        </w:rPr>
        <w:t>装修方案及装修</w:t>
      </w:r>
      <w:r>
        <w:rPr>
          <w:rFonts w:hint="eastAsia" w:ascii="宋体" w:hAnsi="宋体"/>
          <w:sz w:val="24"/>
        </w:rPr>
        <w:t>进度</w:t>
      </w:r>
      <w:r>
        <w:rPr>
          <w:rFonts w:ascii="宋体" w:hAnsi="宋体"/>
          <w:sz w:val="24"/>
        </w:rPr>
        <w:t>安排应事先报甲方同意后</w:t>
      </w:r>
      <w:r>
        <w:rPr>
          <w:rFonts w:hint="eastAsia" w:ascii="宋体" w:hAnsi="宋体"/>
          <w:sz w:val="24"/>
        </w:rPr>
        <w:t>方可</w:t>
      </w:r>
      <w:r>
        <w:rPr>
          <w:rFonts w:ascii="宋体" w:hAnsi="宋体"/>
          <w:sz w:val="24"/>
        </w:rPr>
        <w:t>实施</w:t>
      </w:r>
      <w:r>
        <w:rPr>
          <w:rFonts w:hint="eastAsia" w:ascii="宋体" w:hAnsi="宋体"/>
          <w:sz w:val="24"/>
        </w:rPr>
        <w:t>，</w:t>
      </w:r>
      <w:r>
        <w:rPr>
          <w:rFonts w:ascii="宋体" w:hAnsi="宋体"/>
          <w:sz w:val="24"/>
        </w:rPr>
        <w:t>甲方收到乙方装修方案后7</w:t>
      </w:r>
      <w:r>
        <w:rPr>
          <w:rFonts w:hint="eastAsia" w:ascii="宋体" w:hAnsi="宋体"/>
          <w:sz w:val="24"/>
        </w:rPr>
        <w:t>个工作日未作出同意表示的，视为同意乙方的装修方案</w:t>
      </w:r>
      <w:r>
        <w:rPr>
          <w:rFonts w:ascii="宋体" w:hAnsi="宋体"/>
          <w:sz w:val="24"/>
        </w:rPr>
        <w:t>。</w:t>
      </w:r>
    </w:p>
    <w:p>
      <w:pPr>
        <w:spacing w:line="348" w:lineRule="auto"/>
        <w:ind w:firstLine="360" w:firstLineChars="150"/>
        <w:rPr>
          <w:rFonts w:ascii="宋体" w:hAnsi="宋体"/>
          <w:sz w:val="24"/>
        </w:rPr>
      </w:pPr>
      <w:r>
        <w:rPr>
          <w:rFonts w:hint="eastAsia" w:ascii="宋体" w:hAnsi="宋体"/>
          <w:sz w:val="24"/>
        </w:rPr>
        <w:t>（4）</w:t>
      </w:r>
      <w:r>
        <w:rPr>
          <w:rFonts w:ascii="宋体" w:hAnsi="宋体"/>
          <w:sz w:val="24"/>
        </w:rPr>
        <w:t>装修施工作业时间应</w:t>
      </w:r>
      <w:r>
        <w:rPr>
          <w:rFonts w:hint="eastAsia" w:ascii="宋体" w:hAnsi="宋体"/>
          <w:sz w:val="24"/>
        </w:rPr>
        <w:t>符合</w:t>
      </w:r>
      <w:r>
        <w:rPr>
          <w:rFonts w:ascii="宋体" w:hAnsi="宋体"/>
          <w:sz w:val="24"/>
        </w:rPr>
        <w:t>大楼</w:t>
      </w:r>
      <w:r>
        <w:rPr>
          <w:rFonts w:hint="eastAsia" w:ascii="宋体" w:hAnsi="宋体"/>
          <w:sz w:val="24"/>
        </w:rPr>
        <w:t>统一</w:t>
      </w:r>
      <w:r>
        <w:rPr>
          <w:rFonts w:ascii="宋体" w:hAnsi="宋体"/>
          <w:sz w:val="24"/>
        </w:rPr>
        <w:t>管理，</w:t>
      </w:r>
      <w:r>
        <w:rPr>
          <w:rFonts w:hint="eastAsia" w:ascii="宋体" w:hAnsi="宋体"/>
          <w:sz w:val="24"/>
        </w:rPr>
        <w:t>噪音、油漆等</w:t>
      </w:r>
      <w:r>
        <w:rPr>
          <w:rFonts w:ascii="宋体" w:hAnsi="宋体"/>
          <w:sz w:val="24"/>
        </w:rPr>
        <w:t>影响</w:t>
      </w:r>
      <w:r>
        <w:rPr>
          <w:rFonts w:hint="eastAsia" w:ascii="宋体" w:hAnsi="宋体"/>
          <w:sz w:val="24"/>
        </w:rPr>
        <w:t>大楼办公</w:t>
      </w:r>
      <w:r>
        <w:rPr>
          <w:rFonts w:ascii="宋体" w:hAnsi="宋体"/>
          <w:sz w:val="24"/>
        </w:rPr>
        <w:t>的作业应错开</w:t>
      </w:r>
      <w:r>
        <w:rPr>
          <w:rFonts w:hint="eastAsia" w:ascii="宋体" w:hAnsi="宋体"/>
          <w:sz w:val="24"/>
        </w:rPr>
        <w:t>工作</w:t>
      </w:r>
      <w:r>
        <w:rPr>
          <w:rFonts w:hint="eastAsia" w:ascii="宋体" w:hAnsi="宋体"/>
          <w:sz w:val="24"/>
          <w:lang w:eastAsia="zh-CN"/>
        </w:rPr>
        <w:t>日</w:t>
      </w:r>
      <w:r>
        <w:rPr>
          <w:rFonts w:hint="eastAsia" w:ascii="宋体" w:hAnsi="宋体"/>
          <w:sz w:val="24"/>
          <w:lang w:val="en-US" w:eastAsia="zh-CN"/>
        </w:rPr>
        <w:t>8：00-18：00时段</w:t>
      </w:r>
      <w:r>
        <w:rPr>
          <w:rFonts w:hint="eastAsia" w:ascii="宋体" w:hAnsi="宋体"/>
          <w:sz w:val="24"/>
        </w:rPr>
        <w:t>。</w:t>
      </w:r>
    </w:p>
    <w:p>
      <w:pPr>
        <w:spacing w:line="348" w:lineRule="auto"/>
        <w:ind w:firstLine="360" w:firstLineChars="150"/>
        <w:rPr>
          <w:rFonts w:ascii="宋体" w:hAnsi="宋体"/>
          <w:sz w:val="24"/>
        </w:rPr>
      </w:pPr>
      <w:r>
        <w:rPr>
          <w:rFonts w:hint="eastAsia" w:ascii="宋体" w:hAnsi="宋体"/>
          <w:sz w:val="24"/>
        </w:rPr>
        <w:t>（5）租赁场所</w:t>
      </w:r>
      <w:r>
        <w:rPr>
          <w:rFonts w:ascii="宋体" w:hAnsi="宋体"/>
          <w:sz w:val="24"/>
        </w:rPr>
        <w:t>消防工程的设计报批及竣工验收</w:t>
      </w:r>
      <w:r>
        <w:rPr>
          <w:rFonts w:hint="eastAsia" w:ascii="宋体" w:hAnsi="宋体"/>
          <w:sz w:val="24"/>
        </w:rPr>
        <w:t>事宜</w:t>
      </w:r>
      <w:r>
        <w:rPr>
          <w:rFonts w:ascii="宋体" w:hAnsi="宋体"/>
          <w:sz w:val="24"/>
        </w:rPr>
        <w:t>由乙方负责</w:t>
      </w:r>
      <w:r>
        <w:rPr>
          <w:rFonts w:hint="eastAsia" w:ascii="宋体" w:hAnsi="宋体"/>
          <w:sz w:val="24"/>
        </w:rPr>
        <w:t>，</w:t>
      </w:r>
      <w:r>
        <w:rPr>
          <w:rFonts w:ascii="宋体" w:hAnsi="宋体"/>
          <w:sz w:val="24"/>
        </w:rPr>
        <w:t>由此</w:t>
      </w:r>
      <w:r>
        <w:rPr>
          <w:rFonts w:hint="eastAsia" w:ascii="宋体" w:hAnsi="宋体"/>
          <w:sz w:val="24"/>
        </w:rPr>
        <w:t>产生</w:t>
      </w:r>
      <w:r>
        <w:rPr>
          <w:rFonts w:ascii="宋体" w:hAnsi="宋体"/>
          <w:sz w:val="24"/>
        </w:rPr>
        <w:t>的</w:t>
      </w:r>
      <w:r>
        <w:rPr>
          <w:rFonts w:hint="eastAsia" w:ascii="宋体" w:hAnsi="宋体"/>
          <w:sz w:val="24"/>
        </w:rPr>
        <w:t>相关</w:t>
      </w:r>
      <w:r>
        <w:rPr>
          <w:rFonts w:ascii="宋体" w:hAnsi="宋体"/>
          <w:sz w:val="24"/>
        </w:rPr>
        <w:t>费用</w:t>
      </w:r>
      <w:r>
        <w:rPr>
          <w:rFonts w:hint="eastAsia" w:ascii="宋体" w:hAnsi="宋体"/>
          <w:sz w:val="24"/>
        </w:rPr>
        <w:t>由</w:t>
      </w:r>
      <w:r>
        <w:rPr>
          <w:rFonts w:ascii="宋体" w:hAnsi="宋体"/>
          <w:sz w:val="24"/>
        </w:rPr>
        <w:t>乙方承担。</w:t>
      </w:r>
    </w:p>
    <w:p>
      <w:pPr>
        <w:spacing w:line="348" w:lineRule="auto"/>
        <w:ind w:firstLine="360" w:firstLineChars="150"/>
        <w:rPr>
          <w:rFonts w:ascii="宋体" w:hAnsi="宋体"/>
          <w:sz w:val="24"/>
        </w:rPr>
      </w:pPr>
      <w:r>
        <w:rPr>
          <w:rFonts w:hint="eastAsia" w:ascii="宋体" w:hAnsi="宋体"/>
          <w:sz w:val="24"/>
        </w:rPr>
        <w:t>（6）</w:t>
      </w:r>
      <w:r>
        <w:rPr>
          <w:rFonts w:ascii="宋体" w:hAnsi="宋体"/>
          <w:sz w:val="24"/>
        </w:rPr>
        <w:t>乙方</w:t>
      </w:r>
      <w:r>
        <w:rPr>
          <w:rFonts w:hint="eastAsia" w:ascii="宋体" w:hAnsi="宋体"/>
          <w:sz w:val="24"/>
        </w:rPr>
        <w:t>强电</w:t>
      </w:r>
      <w:r>
        <w:rPr>
          <w:rFonts w:ascii="宋体" w:hAnsi="宋体"/>
          <w:sz w:val="24"/>
        </w:rPr>
        <w:t>、</w:t>
      </w:r>
      <w:r>
        <w:rPr>
          <w:rFonts w:hint="eastAsia" w:ascii="宋体" w:hAnsi="宋体"/>
          <w:sz w:val="24"/>
        </w:rPr>
        <w:t>给排水、暖通、消防</w:t>
      </w:r>
      <w:r>
        <w:rPr>
          <w:rFonts w:ascii="宋体" w:hAnsi="宋体"/>
          <w:sz w:val="24"/>
        </w:rPr>
        <w:t>、</w:t>
      </w:r>
      <w:r>
        <w:rPr>
          <w:rFonts w:hint="eastAsia" w:ascii="宋体" w:hAnsi="宋体"/>
          <w:sz w:val="24"/>
        </w:rPr>
        <w:t>智能化、</w:t>
      </w:r>
      <w:r>
        <w:rPr>
          <w:rFonts w:ascii="宋体" w:hAnsi="宋体"/>
          <w:sz w:val="24"/>
        </w:rPr>
        <w:t>安防</w:t>
      </w:r>
      <w:r>
        <w:rPr>
          <w:rFonts w:hint="eastAsia" w:ascii="宋体" w:hAnsi="宋体"/>
          <w:sz w:val="24"/>
        </w:rPr>
        <w:t>等</w:t>
      </w:r>
      <w:r>
        <w:rPr>
          <w:rFonts w:ascii="宋体" w:hAnsi="宋体"/>
          <w:sz w:val="24"/>
        </w:rPr>
        <w:t>专业的需求应</w:t>
      </w:r>
      <w:r>
        <w:rPr>
          <w:rFonts w:hint="eastAsia" w:ascii="宋体" w:hAnsi="宋体"/>
          <w:sz w:val="24"/>
        </w:rPr>
        <w:t>事先</w:t>
      </w:r>
      <w:r>
        <w:rPr>
          <w:rFonts w:ascii="宋体" w:hAnsi="宋体"/>
          <w:sz w:val="24"/>
        </w:rPr>
        <w:t>报甲方</w:t>
      </w:r>
      <w:r>
        <w:rPr>
          <w:rFonts w:hint="eastAsia" w:ascii="宋体" w:hAnsi="宋体"/>
          <w:sz w:val="24"/>
        </w:rPr>
        <w:t>并提供完整施工图</w:t>
      </w:r>
      <w:r>
        <w:rPr>
          <w:rFonts w:ascii="宋体" w:hAnsi="宋体"/>
          <w:sz w:val="24"/>
        </w:rPr>
        <w:t>，</w:t>
      </w:r>
      <w:r>
        <w:rPr>
          <w:rFonts w:hint="eastAsia" w:ascii="宋体" w:hAnsi="宋体"/>
          <w:sz w:val="24"/>
        </w:rPr>
        <w:t>经甲方审核同意后方可施工，前述施工方案</w:t>
      </w:r>
      <w:r>
        <w:rPr>
          <w:rFonts w:ascii="宋体" w:hAnsi="宋体"/>
          <w:sz w:val="24"/>
        </w:rPr>
        <w:t>应</w:t>
      </w:r>
      <w:r>
        <w:rPr>
          <w:rFonts w:hint="eastAsia" w:ascii="宋体" w:hAnsi="宋体"/>
          <w:sz w:val="24"/>
        </w:rPr>
        <w:t>符合</w:t>
      </w:r>
      <w:r>
        <w:rPr>
          <w:rFonts w:ascii="宋体" w:hAnsi="宋体"/>
          <w:sz w:val="24"/>
        </w:rPr>
        <w:t>大楼</w:t>
      </w:r>
      <w:r>
        <w:rPr>
          <w:rFonts w:hint="eastAsia" w:ascii="宋体" w:hAnsi="宋体"/>
          <w:sz w:val="24"/>
        </w:rPr>
        <w:t>整体硬件</w:t>
      </w:r>
      <w:r>
        <w:rPr>
          <w:rFonts w:ascii="宋体" w:hAnsi="宋体"/>
          <w:sz w:val="24"/>
        </w:rPr>
        <w:t>条件</w:t>
      </w:r>
      <w:r>
        <w:rPr>
          <w:rFonts w:hint="eastAsia" w:ascii="宋体" w:hAnsi="宋体"/>
          <w:sz w:val="24"/>
        </w:rPr>
        <w:t>。</w:t>
      </w:r>
      <w:r>
        <w:rPr>
          <w:rFonts w:ascii="宋体" w:hAnsi="宋体"/>
          <w:sz w:val="24"/>
        </w:rPr>
        <w:t>甲方收到乙方</w:t>
      </w:r>
      <w:r>
        <w:rPr>
          <w:rFonts w:hint="eastAsia" w:ascii="宋体" w:hAnsi="宋体"/>
          <w:sz w:val="24"/>
        </w:rPr>
        <w:t>前述施工</w:t>
      </w:r>
      <w:r>
        <w:rPr>
          <w:rFonts w:ascii="宋体" w:hAnsi="宋体"/>
          <w:sz w:val="24"/>
        </w:rPr>
        <w:t>方案后7</w:t>
      </w:r>
      <w:r>
        <w:rPr>
          <w:rFonts w:hint="eastAsia" w:ascii="宋体" w:hAnsi="宋体"/>
          <w:sz w:val="24"/>
        </w:rPr>
        <w:t>个工作日未作出同意表示的，视为同意乙方该方案</w:t>
      </w:r>
      <w:r>
        <w:rPr>
          <w:rFonts w:ascii="宋体" w:hAnsi="宋体"/>
          <w:sz w:val="24"/>
        </w:rPr>
        <w:t>。</w:t>
      </w:r>
    </w:p>
    <w:p>
      <w:pPr>
        <w:spacing w:line="348" w:lineRule="auto"/>
        <w:ind w:firstLine="360" w:firstLineChars="150"/>
        <w:rPr>
          <w:rFonts w:ascii="宋体" w:hAnsi="宋体"/>
          <w:sz w:val="24"/>
        </w:rPr>
      </w:pPr>
      <w:r>
        <w:rPr>
          <w:rFonts w:hint="eastAsia" w:ascii="宋体" w:hAnsi="宋体"/>
          <w:sz w:val="24"/>
        </w:rPr>
        <w:t>（7）乙方装修施工过程重要工作节点应提前1个工作日通知甲方到场，包括：开工图纸会审、动火作业、隐蔽工程验收、竣工验收。</w:t>
      </w:r>
    </w:p>
    <w:p>
      <w:pPr>
        <w:spacing w:line="348" w:lineRule="auto"/>
        <w:ind w:firstLine="360" w:firstLineChars="150"/>
        <w:rPr>
          <w:rFonts w:ascii="宋体" w:hAnsi="宋体"/>
          <w:b/>
          <w:sz w:val="24"/>
        </w:rPr>
      </w:pPr>
      <w:r>
        <w:rPr>
          <w:rFonts w:hint="eastAsia" w:ascii="宋体" w:hAnsi="宋体"/>
          <w:sz w:val="24"/>
        </w:rPr>
        <w:t>（8）乙方装修</w:t>
      </w:r>
      <w:r>
        <w:rPr>
          <w:rFonts w:ascii="宋体" w:hAnsi="宋体"/>
          <w:sz w:val="24"/>
        </w:rPr>
        <w:t>方案</w:t>
      </w:r>
      <w:r>
        <w:rPr>
          <w:rFonts w:hint="eastAsia" w:ascii="宋体" w:hAnsi="宋体"/>
          <w:sz w:val="24"/>
        </w:rPr>
        <w:t>不得</w:t>
      </w:r>
      <w:r>
        <w:rPr>
          <w:rFonts w:ascii="宋体" w:hAnsi="宋体"/>
          <w:sz w:val="24"/>
        </w:rPr>
        <w:t>侵占公共</w:t>
      </w:r>
      <w:r>
        <w:rPr>
          <w:rFonts w:hint="eastAsia" w:ascii="宋体" w:hAnsi="宋体"/>
          <w:sz w:val="24"/>
        </w:rPr>
        <w:t>区域</w:t>
      </w:r>
      <w:r>
        <w:rPr>
          <w:rFonts w:ascii="宋体" w:hAnsi="宋体"/>
          <w:sz w:val="24"/>
        </w:rPr>
        <w:t>及</w:t>
      </w:r>
      <w:r>
        <w:rPr>
          <w:rFonts w:hint="eastAsia" w:ascii="宋体" w:hAnsi="宋体"/>
          <w:sz w:val="24"/>
        </w:rPr>
        <w:t>疏散</w:t>
      </w:r>
      <w:r>
        <w:rPr>
          <w:rFonts w:ascii="宋体" w:hAnsi="宋体"/>
          <w:sz w:val="24"/>
        </w:rPr>
        <w:t>走道，应保证其他租客</w:t>
      </w:r>
      <w:r>
        <w:rPr>
          <w:rFonts w:hint="eastAsia" w:ascii="宋体" w:hAnsi="宋体"/>
          <w:sz w:val="24"/>
        </w:rPr>
        <w:t>及甲方</w:t>
      </w:r>
      <w:r>
        <w:rPr>
          <w:rFonts w:ascii="宋体" w:hAnsi="宋体"/>
          <w:sz w:val="24"/>
        </w:rPr>
        <w:t>对公共区域的</w:t>
      </w:r>
      <w:r>
        <w:rPr>
          <w:rFonts w:hint="eastAsia" w:ascii="宋体" w:hAnsi="宋体"/>
          <w:sz w:val="24"/>
        </w:rPr>
        <w:t>正常</w:t>
      </w:r>
      <w:r>
        <w:rPr>
          <w:rFonts w:ascii="宋体" w:hAnsi="宋体"/>
          <w:sz w:val="24"/>
        </w:rPr>
        <w:t>使用。</w:t>
      </w:r>
    </w:p>
    <w:p>
      <w:pPr>
        <w:spacing w:line="348" w:lineRule="auto"/>
        <w:ind w:firstLine="482" w:firstLineChars="200"/>
        <w:rPr>
          <w:rFonts w:ascii="宋体" w:hAnsi="宋体"/>
          <w:b/>
          <w:sz w:val="24"/>
        </w:rPr>
      </w:pPr>
      <w:r>
        <w:rPr>
          <w:rFonts w:hint="eastAsia" w:ascii="宋体" w:hAnsi="宋体"/>
          <w:b/>
          <w:sz w:val="24"/>
        </w:rPr>
        <w:t>第三条 租金及其支付时间与支付方式、租金税费支付方式等事宜</w:t>
      </w:r>
    </w:p>
    <w:p>
      <w:pPr>
        <w:spacing w:line="348" w:lineRule="auto"/>
        <w:ind w:firstLine="482" w:firstLineChars="200"/>
        <w:rPr>
          <w:rFonts w:ascii="宋体" w:hAnsi="宋体"/>
          <w:sz w:val="24"/>
        </w:rPr>
      </w:pPr>
      <w:r>
        <w:rPr>
          <w:rFonts w:hint="eastAsia" w:ascii="宋体" w:hAnsi="宋体"/>
          <w:b/>
          <w:sz w:val="24"/>
        </w:rPr>
        <w:t>（一）</w:t>
      </w:r>
      <w:r>
        <w:rPr>
          <w:rFonts w:hint="eastAsia" w:ascii="宋体" w:hAnsi="宋体"/>
          <w:b/>
          <w:bCs w:val="0"/>
          <w:sz w:val="24"/>
        </w:rPr>
        <w:t>双方确认，租金每</w:t>
      </w:r>
      <w:ins w:id="0" w:author="童六秀" w:date="2025-06-16T14:55:39Z">
        <w:r>
          <w:rPr>
            <w:rFonts w:hint="eastAsia" w:ascii="宋体" w:hAnsi="宋体"/>
            <w:b/>
            <w:bCs w:val="0"/>
            <w:sz w:val="24"/>
            <w:lang w:val="en-US" w:eastAsia="zh-CN"/>
          </w:rPr>
          <w:t>年</w:t>
        </w:r>
      </w:ins>
      <w:r>
        <w:rPr>
          <w:rFonts w:hint="eastAsia" w:ascii="宋体" w:hAnsi="宋体"/>
          <w:b/>
          <w:bCs w:val="0"/>
          <w:sz w:val="24"/>
        </w:rPr>
        <w:t>支付一次，先付租金后使用</w:t>
      </w:r>
      <w:r>
        <w:rPr>
          <w:rFonts w:hint="eastAsia" w:ascii="宋体" w:hAnsi="宋体"/>
          <w:b/>
          <w:bCs w:val="0"/>
          <w:sz w:val="24"/>
          <w:lang w:eastAsia="zh-CN"/>
        </w:rPr>
        <w:t>。</w:t>
      </w:r>
      <w:r>
        <w:rPr>
          <w:rFonts w:hint="eastAsia" w:ascii="宋体" w:hAnsi="宋体"/>
          <w:sz w:val="24"/>
        </w:rPr>
        <w:t>首次支付租金的时间为本合同签订后，甲方向乙方开具合法有效的等额增值税【</w:t>
      </w:r>
      <w:r>
        <w:rPr>
          <w:rFonts w:hint="eastAsia" w:ascii="宋体" w:hAnsi="宋体"/>
          <w:sz w:val="24"/>
          <w:lang w:eastAsia="zh-CN"/>
        </w:rPr>
        <w:t>普通</w:t>
      </w:r>
      <w:r>
        <w:rPr>
          <w:rFonts w:hint="eastAsia" w:ascii="宋体" w:hAnsi="宋体"/>
          <w:sz w:val="24"/>
          <w:lang w:val="en-US" w:eastAsia="zh-CN"/>
        </w:rPr>
        <w:t>/</w:t>
      </w:r>
      <w:r>
        <w:rPr>
          <w:rFonts w:hint="eastAsia" w:ascii="宋体" w:hAnsi="宋体"/>
          <w:sz w:val="24"/>
        </w:rPr>
        <w:t>专用】发票后的</w:t>
      </w:r>
      <w:r>
        <w:rPr>
          <w:rFonts w:ascii="宋体" w:hAnsi="宋体"/>
          <w:sz w:val="24"/>
        </w:rPr>
        <w:t>10</w:t>
      </w:r>
      <w:r>
        <w:rPr>
          <w:rFonts w:hint="eastAsia" w:ascii="宋体" w:hAnsi="宋体"/>
          <w:sz w:val="24"/>
        </w:rPr>
        <w:t>个工作日内支付，其后每</w:t>
      </w:r>
      <w:ins w:id="1" w:author="Administrator" w:date="2025-06-16T15:25:33Z">
        <w:r>
          <w:rPr>
            <w:rFonts w:hint="eastAsia" w:ascii="宋体" w:hAnsi="宋体"/>
            <w:sz w:val="24"/>
            <w:lang w:val="en-US" w:eastAsia="zh-CN"/>
          </w:rPr>
          <w:t>年</w:t>
        </w:r>
      </w:ins>
      <w:r>
        <w:rPr>
          <w:rFonts w:hint="eastAsia" w:ascii="宋体" w:hAnsi="宋体"/>
          <w:sz w:val="24"/>
        </w:rPr>
        <w:t>支付一次租金；甲方应于每一期租金到期前</w:t>
      </w:r>
      <w:r>
        <w:rPr>
          <w:rFonts w:ascii="宋体" w:hAnsi="宋体"/>
          <w:sz w:val="24"/>
        </w:rPr>
        <w:t>10</w:t>
      </w:r>
      <w:r>
        <w:rPr>
          <w:rFonts w:hint="eastAsia" w:ascii="宋体" w:hAnsi="宋体"/>
          <w:sz w:val="24"/>
        </w:rPr>
        <w:t>个工作日向乙方开具</w:t>
      </w:r>
      <w:bookmarkStart w:id="0" w:name="_GoBack"/>
      <w:bookmarkEnd w:id="0"/>
      <w:r>
        <w:rPr>
          <w:rFonts w:hint="eastAsia" w:ascii="宋体" w:hAnsi="宋体"/>
          <w:sz w:val="24"/>
        </w:rPr>
        <w:t>合法有效的等额增值税【</w:t>
      </w:r>
      <w:r>
        <w:rPr>
          <w:rFonts w:hint="eastAsia" w:ascii="宋体" w:hAnsi="宋体"/>
          <w:sz w:val="24"/>
          <w:lang w:eastAsia="zh-CN"/>
        </w:rPr>
        <w:t>普通</w:t>
      </w:r>
      <w:r>
        <w:rPr>
          <w:rFonts w:hint="eastAsia" w:ascii="宋体" w:hAnsi="宋体"/>
          <w:sz w:val="24"/>
          <w:lang w:val="en-US" w:eastAsia="zh-CN"/>
        </w:rPr>
        <w:t>/</w:t>
      </w:r>
      <w:r>
        <w:rPr>
          <w:rFonts w:hint="eastAsia" w:ascii="宋体" w:hAnsi="宋体"/>
          <w:sz w:val="24"/>
        </w:rPr>
        <w:t>专用】发票，乙方收到租赁发票后</w:t>
      </w:r>
      <w:r>
        <w:rPr>
          <w:rFonts w:ascii="宋体" w:hAnsi="宋体"/>
          <w:sz w:val="24"/>
        </w:rPr>
        <w:t>10</w:t>
      </w:r>
      <w:r>
        <w:rPr>
          <w:rFonts w:hint="eastAsia" w:ascii="宋体" w:hAnsi="宋体"/>
          <w:sz w:val="24"/>
        </w:rPr>
        <w:t>个工作日内向甲方支付租金。</w:t>
      </w:r>
    </w:p>
    <w:p>
      <w:pPr>
        <w:spacing w:line="348" w:lineRule="auto"/>
        <w:ind w:firstLine="482" w:firstLineChars="200"/>
        <w:rPr>
          <w:rFonts w:ascii="宋体" w:hAnsi="宋体"/>
          <w:b/>
          <w:sz w:val="24"/>
        </w:rPr>
      </w:pPr>
      <w:r>
        <w:rPr>
          <w:rFonts w:hint="eastAsia" w:ascii="宋体" w:hAnsi="宋体"/>
          <w:b/>
          <w:sz w:val="24"/>
        </w:rPr>
        <w:t>租金标准如下:</w:t>
      </w:r>
    </w:p>
    <w:tbl>
      <w:tblPr>
        <w:tblStyle w:val="8"/>
        <w:tblW w:w="8227" w:type="dxa"/>
        <w:tblInd w:w="0" w:type="dxa"/>
        <w:tblLayout w:type="fixed"/>
        <w:tblCellMar>
          <w:top w:w="0" w:type="dxa"/>
          <w:left w:w="108" w:type="dxa"/>
          <w:bottom w:w="0" w:type="dxa"/>
          <w:right w:w="108" w:type="dxa"/>
        </w:tblCellMar>
      </w:tblPr>
      <w:tblGrid>
        <w:gridCol w:w="1796"/>
        <w:gridCol w:w="1297"/>
        <w:gridCol w:w="1584"/>
        <w:gridCol w:w="1684"/>
        <w:gridCol w:w="1866"/>
      </w:tblGrid>
      <w:tr>
        <w:tblPrEx>
          <w:tblCellMar>
            <w:top w:w="0" w:type="dxa"/>
            <w:left w:w="108" w:type="dxa"/>
            <w:bottom w:w="0" w:type="dxa"/>
            <w:right w:w="108" w:type="dxa"/>
          </w:tblCellMar>
        </w:tblPrEx>
        <w:trPr>
          <w:trHeight w:val="454" w:hRule="atLeast"/>
        </w:trPr>
        <w:tc>
          <w:tcPr>
            <w:tcW w:w="1796" w:type="dxa"/>
            <w:tcBorders>
              <w:top w:val="single" w:color="auto" w:sz="4" w:space="0"/>
              <w:left w:val="single" w:color="auto" w:sz="4" w:space="0"/>
              <w:bottom w:val="single" w:color="auto" w:sz="4" w:space="0"/>
              <w:right w:val="single" w:color="auto" w:sz="4" w:space="0"/>
            </w:tcBorders>
            <w:vAlign w:val="center"/>
          </w:tcPr>
          <w:p>
            <w:pPr>
              <w:widowControl/>
              <w:spacing w:line="348" w:lineRule="auto"/>
              <w:jc w:val="center"/>
              <w:rPr>
                <w:rFonts w:ascii="宋体" w:hAnsi="宋体" w:cs="宋体"/>
                <w:b/>
                <w:kern w:val="0"/>
                <w:sz w:val="24"/>
              </w:rPr>
            </w:pPr>
            <w:r>
              <w:rPr>
                <w:rFonts w:hint="eastAsia" w:ascii="宋体" w:hAnsi="宋体" w:cs="宋体"/>
                <w:b/>
                <w:kern w:val="0"/>
                <w:sz w:val="24"/>
              </w:rPr>
              <w:t>租赁年度</w:t>
            </w:r>
          </w:p>
        </w:tc>
        <w:tc>
          <w:tcPr>
            <w:tcW w:w="1297" w:type="dxa"/>
            <w:tcBorders>
              <w:top w:val="single" w:color="auto" w:sz="4" w:space="0"/>
              <w:left w:val="nil"/>
              <w:bottom w:val="single" w:color="auto" w:sz="4" w:space="0"/>
              <w:right w:val="single" w:color="auto" w:sz="4" w:space="0"/>
            </w:tcBorders>
            <w:vAlign w:val="center"/>
          </w:tcPr>
          <w:p>
            <w:pPr>
              <w:widowControl/>
              <w:spacing w:line="348" w:lineRule="auto"/>
              <w:jc w:val="center"/>
              <w:rPr>
                <w:rFonts w:ascii="宋体" w:hAnsi="宋体" w:cs="宋体"/>
                <w:b/>
                <w:kern w:val="0"/>
                <w:sz w:val="24"/>
              </w:rPr>
            </w:pPr>
            <w:r>
              <w:rPr>
                <w:rFonts w:hint="eastAsia" w:ascii="宋体" w:hAnsi="宋体" w:cs="宋体"/>
                <w:b/>
                <w:kern w:val="0"/>
                <w:sz w:val="24"/>
              </w:rPr>
              <w:t>租金</w:t>
            </w:r>
            <w:r>
              <w:rPr>
                <w:rFonts w:hint="eastAsia" w:ascii="宋体" w:hAnsi="宋体" w:cs="宋体"/>
                <w:b/>
                <w:kern w:val="0"/>
                <w:sz w:val="24"/>
                <w:lang w:eastAsia="zh-CN"/>
              </w:rPr>
              <w:t>递增</w:t>
            </w:r>
          </w:p>
        </w:tc>
        <w:tc>
          <w:tcPr>
            <w:tcW w:w="1584" w:type="dxa"/>
            <w:tcBorders>
              <w:top w:val="single" w:color="auto" w:sz="4" w:space="0"/>
              <w:left w:val="nil"/>
              <w:bottom w:val="single" w:color="auto" w:sz="4" w:space="0"/>
              <w:right w:val="single" w:color="auto" w:sz="4" w:space="0"/>
            </w:tcBorders>
            <w:vAlign w:val="center"/>
          </w:tcPr>
          <w:p>
            <w:pPr>
              <w:widowControl/>
              <w:spacing w:line="348" w:lineRule="auto"/>
              <w:jc w:val="center"/>
              <w:rPr>
                <w:rFonts w:ascii="宋体" w:hAnsi="宋体" w:cs="宋体"/>
                <w:b/>
                <w:kern w:val="0"/>
                <w:sz w:val="24"/>
              </w:rPr>
            </w:pPr>
            <w:r>
              <w:rPr>
                <w:rFonts w:hint="eastAsia" w:ascii="宋体" w:hAnsi="宋体" w:cs="宋体"/>
                <w:b/>
                <w:kern w:val="0"/>
                <w:sz w:val="24"/>
              </w:rPr>
              <w:t>月租金（元）</w:t>
            </w:r>
          </w:p>
        </w:tc>
        <w:tc>
          <w:tcPr>
            <w:tcW w:w="1684" w:type="dxa"/>
            <w:tcBorders>
              <w:top w:val="single" w:color="auto" w:sz="4" w:space="0"/>
              <w:left w:val="nil"/>
              <w:bottom w:val="single" w:color="auto" w:sz="4" w:space="0"/>
              <w:right w:val="single" w:color="auto" w:sz="4" w:space="0"/>
            </w:tcBorders>
            <w:vAlign w:val="center"/>
          </w:tcPr>
          <w:p>
            <w:pPr>
              <w:widowControl/>
              <w:spacing w:line="348" w:lineRule="auto"/>
              <w:jc w:val="center"/>
              <w:rPr>
                <w:rFonts w:hint="eastAsia" w:ascii="宋体" w:hAnsi="宋体" w:eastAsia="宋体" w:cs="宋体"/>
                <w:b/>
                <w:kern w:val="0"/>
                <w:sz w:val="24"/>
                <w:lang w:eastAsia="zh-CN"/>
              </w:rPr>
            </w:pPr>
            <w:r>
              <w:rPr>
                <w:rFonts w:hint="eastAsia" w:ascii="宋体" w:hAnsi="宋体" w:cs="宋体"/>
                <w:b/>
                <w:kern w:val="0"/>
                <w:sz w:val="24"/>
                <w:lang w:eastAsia="zh-CN"/>
              </w:rPr>
              <w:t>季度租金（元）</w:t>
            </w:r>
          </w:p>
        </w:tc>
        <w:tc>
          <w:tcPr>
            <w:tcW w:w="1866" w:type="dxa"/>
            <w:tcBorders>
              <w:top w:val="single" w:color="auto" w:sz="4" w:space="0"/>
              <w:left w:val="nil"/>
              <w:bottom w:val="single" w:color="auto" w:sz="4" w:space="0"/>
              <w:right w:val="single" w:color="auto" w:sz="4" w:space="0"/>
            </w:tcBorders>
            <w:vAlign w:val="center"/>
          </w:tcPr>
          <w:p>
            <w:pPr>
              <w:widowControl/>
              <w:spacing w:line="348" w:lineRule="auto"/>
              <w:jc w:val="center"/>
              <w:rPr>
                <w:rFonts w:ascii="宋体" w:hAnsi="宋体" w:cs="宋体"/>
                <w:b/>
                <w:kern w:val="0"/>
                <w:sz w:val="24"/>
              </w:rPr>
            </w:pPr>
            <w:r>
              <w:rPr>
                <w:rFonts w:hint="eastAsia" w:ascii="宋体" w:hAnsi="宋体" w:cs="宋体"/>
                <w:b/>
                <w:kern w:val="0"/>
                <w:sz w:val="24"/>
              </w:rPr>
              <w:t>年租金（元）</w:t>
            </w:r>
          </w:p>
        </w:tc>
      </w:tr>
      <w:tr>
        <w:tblPrEx>
          <w:tblCellMar>
            <w:top w:w="0" w:type="dxa"/>
            <w:left w:w="108" w:type="dxa"/>
            <w:bottom w:w="0" w:type="dxa"/>
            <w:right w:w="108" w:type="dxa"/>
          </w:tblCellMar>
        </w:tblPrEx>
        <w:trPr>
          <w:trHeight w:val="454" w:hRule="atLeast"/>
        </w:trPr>
        <w:tc>
          <w:tcPr>
            <w:tcW w:w="1796" w:type="dxa"/>
            <w:tcBorders>
              <w:top w:val="nil"/>
              <w:left w:val="single" w:color="auto" w:sz="4" w:space="0"/>
              <w:bottom w:val="single" w:color="auto" w:sz="4" w:space="0"/>
              <w:right w:val="single" w:color="auto" w:sz="4" w:space="0"/>
            </w:tcBorders>
            <w:vAlign w:val="center"/>
          </w:tcPr>
          <w:p>
            <w:pPr>
              <w:widowControl/>
              <w:spacing w:line="348" w:lineRule="auto"/>
              <w:jc w:val="center"/>
              <w:rPr>
                <w:rFonts w:hint="default" w:ascii="宋体" w:hAnsi="宋体" w:eastAsia="宋体" w:cs="宋体"/>
                <w:kern w:val="0"/>
                <w:szCs w:val="21"/>
                <w:lang w:val="en-US" w:eastAsia="zh-CN"/>
              </w:rPr>
            </w:pPr>
          </w:p>
        </w:tc>
        <w:tc>
          <w:tcPr>
            <w:tcW w:w="1297" w:type="dxa"/>
            <w:tcBorders>
              <w:top w:val="nil"/>
              <w:left w:val="single" w:color="auto" w:sz="4" w:space="0"/>
              <w:bottom w:val="single" w:color="auto" w:sz="4" w:space="0"/>
              <w:right w:val="single" w:color="auto" w:sz="4" w:space="0"/>
            </w:tcBorders>
            <w:vAlign w:val="center"/>
          </w:tcPr>
          <w:p>
            <w:pPr>
              <w:spacing w:line="348" w:lineRule="auto"/>
              <w:jc w:val="center"/>
              <w:rPr>
                <w:rFonts w:hint="default" w:ascii="宋体" w:hAnsi="宋体" w:eastAsia="宋体" w:cs="宋体"/>
                <w:kern w:val="0"/>
                <w:szCs w:val="21"/>
                <w:lang w:val="en-US" w:eastAsia="zh-CN"/>
              </w:rPr>
            </w:pPr>
          </w:p>
        </w:tc>
        <w:tc>
          <w:tcPr>
            <w:tcW w:w="1584" w:type="dxa"/>
            <w:tcBorders>
              <w:top w:val="nil"/>
              <w:left w:val="single" w:color="auto" w:sz="4" w:space="0"/>
              <w:bottom w:val="single" w:color="auto" w:sz="4" w:space="0"/>
              <w:right w:val="single" w:color="auto" w:sz="4" w:space="0"/>
            </w:tcBorders>
            <w:vAlign w:val="center"/>
          </w:tcPr>
          <w:p>
            <w:pPr>
              <w:widowControl/>
              <w:spacing w:line="348" w:lineRule="auto"/>
              <w:jc w:val="center"/>
              <w:rPr>
                <w:rFonts w:hint="default" w:ascii="宋体" w:hAnsi="宋体" w:eastAsia="宋体" w:cs="宋体"/>
                <w:kern w:val="0"/>
                <w:szCs w:val="21"/>
                <w:lang w:val="en-US" w:eastAsia="zh-CN"/>
              </w:rPr>
            </w:pPr>
          </w:p>
        </w:tc>
        <w:tc>
          <w:tcPr>
            <w:tcW w:w="1684" w:type="dxa"/>
            <w:tcBorders>
              <w:top w:val="nil"/>
              <w:left w:val="single" w:color="auto" w:sz="4" w:space="0"/>
              <w:bottom w:val="single" w:color="auto" w:sz="4" w:space="0"/>
              <w:right w:val="single" w:color="auto" w:sz="4" w:space="0"/>
            </w:tcBorders>
            <w:vAlign w:val="center"/>
          </w:tcPr>
          <w:p>
            <w:pPr>
              <w:widowControl/>
              <w:spacing w:line="348" w:lineRule="auto"/>
              <w:jc w:val="center"/>
              <w:rPr>
                <w:rFonts w:hint="eastAsia" w:ascii="宋体" w:hAnsi="宋体" w:eastAsia="宋体" w:cs="宋体"/>
                <w:kern w:val="0"/>
                <w:szCs w:val="21"/>
                <w:lang w:eastAsia="zh-CN"/>
              </w:rPr>
            </w:pPr>
          </w:p>
        </w:tc>
        <w:tc>
          <w:tcPr>
            <w:tcW w:w="1866" w:type="dxa"/>
            <w:tcBorders>
              <w:top w:val="nil"/>
              <w:left w:val="single" w:color="auto" w:sz="4" w:space="0"/>
              <w:bottom w:val="single" w:color="auto" w:sz="4" w:space="0"/>
              <w:right w:val="single" w:color="auto" w:sz="4" w:space="0"/>
            </w:tcBorders>
            <w:vAlign w:val="center"/>
          </w:tcPr>
          <w:p>
            <w:pPr>
              <w:jc w:val="center"/>
              <w:rPr>
                <w:rFonts w:hint="default" w:ascii="宋体" w:hAnsi="宋体" w:eastAsia="宋体" w:cs="宋体"/>
                <w:kern w:val="0"/>
                <w:szCs w:val="21"/>
                <w:lang w:val="en-US" w:eastAsia="zh-CN"/>
              </w:rPr>
            </w:pPr>
          </w:p>
        </w:tc>
      </w:tr>
      <w:tr>
        <w:tblPrEx>
          <w:tblCellMar>
            <w:top w:w="0" w:type="dxa"/>
            <w:left w:w="108" w:type="dxa"/>
            <w:bottom w:w="0" w:type="dxa"/>
            <w:right w:w="108" w:type="dxa"/>
          </w:tblCellMar>
        </w:tblPrEx>
        <w:trPr>
          <w:trHeight w:val="454" w:hRule="atLeast"/>
        </w:trPr>
        <w:tc>
          <w:tcPr>
            <w:tcW w:w="1796" w:type="dxa"/>
            <w:tcBorders>
              <w:top w:val="nil"/>
              <w:left w:val="single" w:color="auto" w:sz="4" w:space="0"/>
              <w:bottom w:val="single" w:color="auto" w:sz="4" w:space="0"/>
              <w:right w:val="single" w:color="auto" w:sz="4" w:space="0"/>
            </w:tcBorders>
            <w:vAlign w:val="center"/>
          </w:tcPr>
          <w:p>
            <w:pPr>
              <w:widowControl/>
              <w:spacing w:line="348" w:lineRule="auto"/>
              <w:jc w:val="center"/>
              <w:rPr>
                <w:rFonts w:hint="default" w:ascii="宋体" w:hAnsi="宋体" w:eastAsia="宋体" w:cs="宋体"/>
                <w:kern w:val="0"/>
                <w:szCs w:val="21"/>
                <w:lang w:val="en-US" w:eastAsia="zh-CN"/>
              </w:rPr>
            </w:pPr>
          </w:p>
        </w:tc>
        <w:tc>
          <w:tcPr>
            <w:tcW w:w="1297" w:type="dxa"/>
            <w:tcBorders>
              <w:top w:val="nil"/>
              <w:left w:val="single" w:color="auto" w:sz="4" w:space="0"/>
              <w:bottom w:val="single" w:color="auto" w:sz="4" w:space="0"/>
              <w:right w:val="single" w:color="auto" w:sz="4" w:space="0"/>
            </w:tcBorders>
            <w:vAlign w:val="center"/>
          </w:tcPr>
          <w:p>
            <w:pPr>
              <w:spacing w:line="348" w:lineRule="auto"/>
              <w:jc w:val="center"/>
              <w:rPr>
                <w:rFonts w:hint="default" w:ascii="宋体" w:hAnsi="宋体" w:eastAsia="宋体" w:cs="宋体"/>
                <w:kern w:val="0"/>
                <w:szCs w:val="21"/>
                <w:lang w:val="en-US" w:eastAsia="zh-CN"/>
              </w:rPr>
            </w:pPr>
          </w:p>
        </w:tc>
        <w:tc>
          <w:tcPr>
            <w:tcW w:w="1584" w:type="dxa"/>
            <w:tcBorders>
              <w:top w:val="nil"/>
              <w:left w:val="single" w:color="auto" w:sz="4" w:space="0"/>
              <w:bottom w:val="single" w:color="auto" w:sz="4" w:space="0"/>
              <w:right w:val="single" w:color="auto" w:sz="4" w:space="0"/>
            </w:tcBorders>
            <w:vAlign w:val="center"/>
          </w:tcPr>
          <w:p>
            <w:pPr>
              <w:widowControl/>
              <w:spacing w:line="348" w:lineRule="auto"/>
              <w:jc w:val="center"/>
              <w:rPr>
                <w:rFonts w:hint="default" w:ascii="宋体" w:hAnsi="宋体" w:eastAsia="宋体" w:cs="宋体"/>
                <w:kern w:val="0"/>
                <w:szCs w:val="21"/>
                <w:lang w:val="en-US" w:eastAsia="zh-CN"/>
              </w:rPr>
            </w:pPr>
          </w:p>
        </w:tc>
        <w:tc>
          <w:tcPr>
            <w:tcW w:w="1684" w:type="dxa"/>
            <w:tcBorders>
              <w:top w:val="nil"/>
              <w:left w:val="single" w:color="auto" w:sz="4" w:space="0"/>
              <w:bottom w:val="single" w:color="auto" w:sz="4" w:space="0"/>
              <w:right w:val="single" w:color="auto" w:sz="4" w:space="0"/>
            </w:tcBorders>
            <w:vAlign w:val="center"/>
          </w:tcPr>
          <w:p>
            <w:pPr>
              <w:widowControl/>
              <w:spacing w:line="348" w:lineRule="auto"/>
              <w:jc w:val="center"/>
              <w:rPr>
                <w:rFonts w:hint="eastAsia" w:ascii="宋体" w:hAnsi="宋体" w:eastAsia="宋体" w:cs="宋体"/>
                <w:kern w:val="0"/>
                <w:szCs w:val="21"/>
                <w:lang w:eastAsia="zh-CN"/>
              </w:rPr>
            </w:pPr>
          </w:p>
        </w:tc>
        <w:tc>
          <w:tcPr>
            <w:tcW w:w="1866" w:type="dxa"/>
            <w:tcBorders>
              <w:top w:val="nil"/>
              <w:left w:val="single" w:color="auto" w:sz="4" w:space="0"/>
              <w:bottom w:val="single" w:color="auto" w:sz="4" w:space="0"/>
              <w:right w:val="single" w:color="auto" w:sz="4" w:space="0"/>
            </w:tcBorders>
            <w:vAlign w:val="center"/>
          </w:tcPr>
          <w:p>
            <w:pPr>
              <w:jc w:val="center"/>
              <w:rPr>
                <w:rFonts w:hint="default" w:ascii="宋体" w:hAnsi="宋体" w:eastAsia="宋体" w:cs="宋体"/>
                <w:kern w:val="0"/>
                <w:szCs w:val="21"/>
                <w:lang w:val="en-US" w:eastAsia="zh-CN"/>
              </w:rPr>
            </w:pPr>
          </w:p>
        </w:tc>
      </w:tr>
      <w:tr>
        <w:tblPrEx>
          <w:tblCellMar>
            <w:top w:w="0" w:type="dxa"/>
            <w:left w:w="108" w:type="dxa"/>
            <w:bottom w:w="0" w:type="dxa"/>
            <w:right w:w="108" w:type="dxa"/>
          </w:tblCellMar>
        </w:tblPrEx>
        <w:trPr>
          <w:trHeight w:val="454" w:hRule="atLeast"/>
        </w:trPr>
        <w:tc>
          <w:tcPr>
            <w:tcW w:w="1796" w:type="dxa"/>
            <w:tcBorders>
              <w:top w:val="nil"/>
              <w:left w:val="single" w:color="auto" w:sz="4" w:space="0"/>
              <w:bottom w:val="single" w:color="auto" w:sz="4" w:space="0"/>
              <w:right w:val="single" w:color="auto" w:sz="4" w:space="0"/>
            </w:tcBorders>
            <w:vAlign w:val="center"/>
          </w:tcPr>
          <w:p>
            <w:pPr>
              <w:widowControl/>
              <w:spacing w:line="348" w:lineRule="auto"/>
              <w:jc w:val="center"/>
              <w:rPr>
                <w:rFonts w:hint="default" w:ascii="宋体" w:hAnsi="宋体" w:eastAsia="宋体" w:cs="宋体"/>
                <w:kern w:val="0"/>
                <w:szCs w:val="21"/>
                <w:lang w:val="en-US" w:eastAsia="zh-CN"/>
              </w:rPr>
            </w:pPr>
          </w:p>
        </w:tc>
        <w:tc>
          <w:tcPr>
            <w:tcW w:w="1297" w:type="dxa"/>
            <w:tcBorders>
              <w:top w:val="nil"/>
              <w:left w:val="single" w:color="auto" w:sz="4" w:space="0"/>
              <w:bottom w:val="single" w:color="auto" w:sz="4" w:space="0"/>
              <w:right w:val="single" w:color="auto" w:sz="4" w:space="0"/>
            </w:tcBorders>
            <w:vAlign w:val="center"/>
          </w:tcPr>
          <w:p>
            <w:pPr>
              <w:spacing w:line="348" w:lineRule="auto"/>
              <w:jc w:val="center"/>
              <w:rPr>
                <w:rFonts w:hint="default" w:ascii="宋体" w:hAnsi="宋体" w:eastAsia="宋体" w:cs="宋体"/>
                <w:kern w:val="0"/>
                <w:szCs w:val="21"/>
                <w:lang w:val="en-US" w:eastAsia="zh-CN"/>
              </w:rPr>
            </w:pPr>
          </w:p>
        </w:tc>
        <w:tc>
          <w:tcPr>
            <w:tcW w:w="1584" w:type="dxa"/>
            <w:tcBorders>
              <w:top w:val="nil"/>
              <w:left w:val="single" w:color="auto" w:sz="4" w:space="0"/>
              <w:bottom w:val="single" w:color="auto" w:sz="4" w:space="0"/>
              <w:right w:val="single" w:color="auto" w:sz="4" w:space="0"/>
            </w:tcBorders>
            <w:vAlign w:val="center"/>
          </w:tcPr>
          <w:p>
            <w:pPr>
              <w:widowControl/>
              <w:spacing w:line="348" w:lineRule="auto"/>
              <w:jc w:val="center"/>
              <w:rPr>
                <w:rFonts w:hint="default" w:ascii="宋体" w:hAnsi="宋体" w:eastAsia="宋体" w:cs="宋体"/>
                <w:kern w:val="0"/>
                <w:szCs w:val="21"/>
                <w:lang w:val="en-US" w:eastAsia="zh-CN"/>
              </w:rPr>
            </w:pPr>
          </w:p>
        </w:tc>
        <w:tc>
          <w:tcPr>
            <w:tcW w:w="1684" w:type="dxa"/>
            <w:tcBorders>
              <w:top w:val="nil"/>
              <w:left w:val="single" w:color="auto" w:sz="4" w:space="0"/>
              <w:bottom w:val="single" w:color="auto" w:sz="4" w:space="0"/>
              <w:right w:val="single" w:color="auto" w:sz="4" w:space="0"/>
            </w:tcBorders>
            <w:vAlign w:val="center"/>
          </w:tcPr>
          <w:p>
            <w:pPr>
              <w:widowControl/>
              <w:spacing w:line="348" w:lineRule="auto"/>
              <w:jc w:val="center"/>
              <w:rPr>
                <w:rFonts w:hint="eastAsia" w:ascii="宋体" w:hAnsi="宋体" w:eastAsia="宋体" w:cs="宋体"/>
                <w:kern w:val="0"/>
                <w:szCs w:val="21"/>
                <w:lang w:eastAsia="zh-CN"/>
              </w:rPr>
            </w:pPr>
          </w:p>
        </w:tc>
        <w:tc>
          <w:tcPr>
            <w:tcW w:w="1866" w:type="dxa"/>
            <w:tcBorders>
              <w:top w:val="nil"/>
              <w:left w:val="single" w:color="auto" w:sz="4" w:space="0"/>
              <w:bottom w:val="single" w:color="auto" w:sz="4" w:space="0"/>
              <w:right w:val="single" w:color="auto" w:sz="4" w:space="0"/>
            </w:tcBorders>
            <w:vAlign w:val="center"/>
          </w:tcPr>
          <w:p>
            <w:pPr>
              <w:jc w:val="center"/>
              <w:rPr>
                <w:rFonts w:hint="default" w:ascii="宋体" w:hAnsi="宋体" w:eastAsia="宋体" w:cs="宋体"/>
                <w:kern w:val="0"/>
                <w:szCs w:val="21"/>
                <w:lang w:val="en-US" w:eastAsia="zh-CN"/>
              </w:rPr>
            </w:pPr>
          </w:p>
        </w:tc>
      </w:tr>
      <w:tr>
        <w:tblPrEx>
          <w:tblCellMar>
            <w:top w:w="0" w:type="dxa"/>
            <w:left w:w="108" w:type="dxa"/>
            <w:bottom w:w="0" w:type="dxa"/>
            <w:right w:w="108" w:type="dxa"/>
          </w:tblCellMar>
        </w:tblPrEx>
        <w:trPr>
          <w:trHeight w:val="454" w:hRule="atLeast"/>
        </w:trPr>
        <w:tc>
          <w:tcPr>
            <w:tcW w:w="1796" w:type="dxa"/>
            <w:tcBorders>
              <w:top w:val="nil"/>
              <w:left w:val="single" w:color="auto" w:sz="4" w:space="0"/>
              <w:bottom w:val="single" w:color="auto" w:sz="4" w:space="0"/>
              <w:right w:val="single" w:color="auto" w:sz="4" w:space="0"/>
            </w:tcBorders>
            <w:vAlign w:val="center"/>
          </w:tcPr>
          <w:p>
            <w:pPr>
              <w:widowControl/>
              <w:spacing w:line="348" w:lineRule="auto"/>
              <w:jc w:val="center"/>
              <w:rPr>
                <w:rFonts w:hint="default" w:ascii="宋体" w:hAnsi="宋体" w:eastAsia="宋体" w:cs="宋体"/>
                <w:kern w:val="0"/>
                <w:szCs w:val="21"/>
                <w:lang w:val="en-US" w:eastAsia="zh-CN"/>
              </w:rPr>
            </w:pPr>
          </w:p>
        </w:tc>
        <w:tc>
          <w:tcPr>
            <w:tcW w:w="1297" w:type="dxa"/>
            <w:tcBorders>
              <w:top w:val="nil"/>
              <w:left w:val="single" w:color="auto" w:sz="4" w:space="0"/>
              <w:bottom w:val="single" w:color="auto" w:sz="4" w:space="0"/>
              <w:right w:val="single" w:color="auto" w:sz="4" w:space="0"/>
            </w:tcBorders>
            <w:vAlign w:val="center"/>
          </w:tcPr>
          <w:p>
            <w:pPr>
              <w:spacing w:line="348" w:lineRule="auto"/>
              <w:jc w:val="center"/>
              <w:rPr>
                <w:rFonts w:hint="default" w:ascii="宋体" w:hAnsi="宋体" w:eastAsia="宋体" w:cs="宋体"/>
                <w:kern w:val="0"/>
                <w:szCs w:val="21"/>
                <w:lang w:val="en-US" w:eastAsia="zh-CN"/>
              </w:rPr>
            </w:pPr>
          </w:p>
        </w:tc>
        <w:tc>
          <w:tcPr>
            <w:tcW w:w="1584" w:type="dxa"/>
            <w:tcBorders>
              <w:top w:val="nil"/>
              <w:left w:val="single" w:color="auto" w:sz="4" w:space="0"/>
              <w:bottom w:val="single" w:color="auto" w:sz="4" w:space="0"/>
              <w:right w:val="single" w:color="auto" w:sz="4" w:space="0"/>
            </w:tcBorders>
            <w:vAlign w:val="center"/>
          </w:tcPr>
          <w:p>
            <w:pPr>
              <w:widowControl/>
              <w:spacing w:line="348" w:lineRule="auto"/>
              <w:jc w:val="center"/>
              <w:rPr>
                <w:rFonts w:hint="default" w:ascii="宋体" w:hAnsi="宋体" w:eastAsia="宋体" w:cs="宋体"/>
                <w:kern w:val="0"/>
                <w:szCs w:val="21"/>
                <w:lang w:val="en-US" w:eastAsia="zh-CN"/>
              </w:rPr>
            </w:pPr>
          </w:p>
        </w:tc>
        <w:tc>
          <w:tcPr>
            <w:tcW w:w="1684" w:type="dxa"/>
            <w:tcBorders>
              <w:top w:val="nil"/>
              <w:left w:val="single" w:color="auto" w:sz="4" w:space="0"/>
              <w:bottom w:val="single" w:color="auto" w:sz="4" w:space="0"/>
              <w:right w:val="single" w:color="auto" w:sz="4" w:space="0"/>
            </w:tcBorders>
            <w:vAlign w:val="center"/>
          </w:tcPr>
          <w:p>
            <w:pPr>
              <w:widowControl/>
              <w:spacing w:line="348" w:lineRule="auto"/>
              <w:jc w:val="center"/>
              <w:rPr>
                <w:rFonts w:hint="eastAsia" w:ascii="宋体" w:hAnsi="宋体" w:eastAsia="宋体" w:cs="宋体"/>
                <w:kern w:val="0"/>
                <w:szCs w:val="21"/>
                <w:lang w:eastAsia="zh-CN"/>
              </w:rPr>
            </w:pPr>
          </w:p>
        </w:tc>
        <w:tc>
          <w:tcPr>
            <w:tcW w:w="1866" w:type="dxa"/>
            <w:tcBorders>
              <w:top w:val="nil"/>
              <w:left w:val="single" w:color="auto" w:sz="4" w:space="0"/>
              <w:bottom w:val="single" w:color="auto" w:sz="4" w:space="0"/>
              <w:right w:val="single" w:color="auto" w:sz="4" w:space="0"/>
            </w:tcBorders>
            <w:vAlign w:val="center"/>
          </w:tcPr>
          <w:p>
            <w:pPr>
              <w:jc w:val="center"/>
              <w:rPr>
                <w:rFonts w:hint="default" w:ascii="宋体" w:hAnsi="宋体" w:eastAsia="宋体" w:cs="宋体"/>
                <w:kern w:val="0"/>
                <w:szCs w:val="21"/>
                <w:lang w:val="en-US" w:eastAsia="zh-CN"/>
              </w:rPr>
            </w:pPr>
          </w:p>
        </w:tc>
      </w:tr>
      <w:tr>
        <w:tblPrEx>
          <w:tblCellMar>
            <w:top w:w="0" w:type="dxa"/>
            <w:left w:w="108" w:type="dxa"/>
            <w:bottom w:w="0" w:type="dxa"/>
            <w:right w:w="108" w:type="dxa"/>
          </w:tblCellMar>
        </w:tblPrEx>
        <w:trPr>
          <w:trHeight w:val="454" w:hRule="atLeast"/>
        </w:trPr>
        <w:tc>
          <w:tcPr>
            <w:tcW w:w="1796" w:type="dxa"/>
            <w:tcBorders>
              <w:top w:val="nil"/>
              <w:left w:val="single" w:color="auto" w:sz="4" w:space="0"/>
              <w:bottom w:val="single" w:color="auto" w:sz="4" w:space="0"/>
              <w:right w:val="single" w:color="auto" w:sz="4" w:space="0"/>
            </w:tcBorders>
            <w:vAlign w:val="center"/>
          </w:tcPr>
          <w:p>
            <w:pPr>
              <w:widowControl/>
              <w:spacing w:line="348" w:lineRule="auto"/>
              <w:jc w:val="center"/>
              <w:rPr>
                <w:rFonts w:hint="default" w:ascii="宋体" w:hAnsi="宋体" w:eastAsia="宋体" w:cs="宋体"/>
                <w:kern w:val="0"/>
                <w:szCs w:val="21"/>
                <w:lang w:val="en-US" w:eastAsia="zh-CN"/>
              </w:rPr>
            </w:pPr>
          </w:p>
        </w:tc>
        <w:tc>
          <w:tcPr>
            <w:tcW w:w="1297" w:type="dxa"/>
            <w:tcBorders>
              <w:top w:val="nil"/>
              <w:left w:val="single" w:color="auto" w:sz="4" w:space="0"/>
              <w:bottom w:val="single" w:color="auto" w:sz="4" w:space="0"/>
              <w:right w:val="single" w:color="auto" w:sz="4" w:space="0"/>
            </w:tcBorders>
            <w:vAlign w:val="center"/>
          </w:tcPr>
          <w:p>
            <w:pPr>
              <w:spacing w:line="348" w:lineRule="auto"/>
              <w:jc w:val="center"/>
              <w:rPr>
                <w:rFonts w:hint="default" w:ascii="宋体" w:hAnsi="宋体" w:eastAsia="宋体" w:cs="宋体"/>
                <w:kern w:val="0"/>
                <w:szCs w:val="21"/>
                <w:lang w:val="en-US" w:eastAsia="zh-CN"/>
              </w:rPr>
            </w:pPr>
          </w:p>
        </w:tc>
        <w:tc>
          <w:tcPr>
            <w:tcW w:w="1584" w:type="dxa"/>
            <w:tcBorders>
              <w:top w:val="nil"/>
              <w:left w:val="single" w:color="auto" w:sz="4" w:space="0"/>
              <w:bottom w:val="single" w:color="auto" w:sz="4" w:space="0"/>
              <w:right w:val="single" w:color="auto" w:sz="4" w:space="0"/>
            </w:tcBorders>
            <w:vAlign w:val="center"/>
          </w:tcPr>
          <w:p>
            <w:pPr>
              <w:widowControl/>
              <w:spacing w:line="348" w:lineRule="auto"/>
              <w:jc w:val="center"/>
              <w:rPr>
                <w:rFonts w:hint="default" w:ascii="宋体" w:hAnsi="宋体" w:eastAsia="宋体" w:cs="宋体"/>
                <w:kern w:val="0"/>
                <w:szCs w:val="21"/>
                <w:lang w:val="en-US" w:eastAsia="zh-CN"/>
              </w:rPr>
            </w:pPr>
          </w:p>
        </w:tc>
        <w:tc>
          <w:tcPr>
            <w:tcW w:w="1684" w:type="dxa"/>
            <w:tcBorders>
              <w:top w:val="nil"/>
              <w:left w:val="single" w:color="auto" w:sz="4" w:space="0"/>
              <w:bottom w:val="single" w:color="auto" w:sz="4" w:space="0"/>
              <w:right w:val="single" w:color="auto" w:sz="4" w:space="0"/>
            </w:tcBorders>
            <w:vAlign w:val="center"/>
          </w:tcPr>
          <w:p>
            <w:pPr>
              <w:widowControl/>
              <w:spacing w:line="348" w:lineRule="auto"/>
              <w:jc w:val="center"/>
              <w:rPr>
                <w:rFonts w:ascii="宋体" w:hAnsi="宋体" w:cs="宋体"/>
                <w:kern w:val="0"/>
                <w:szCs w:val="21"/>
              </w:rPr>
            </w:pPr>
          </w:p>
        </w:tc>
        <w:tc>
          <w:tcPr>
            <w:tcW w:w="1866" w:type="dxa"/>
            <w:tcBorders>
              <w:top w:val="nil"/>
              <w:left w:val="single" w:color="auto" w:sz="4" w:space="0"/>
              <w:bottom w:val="single" w:color="auto" w:sz="4" w:space="0"/>
              <w:right w:val="single" w:color="auto" w:sz="4" w:space="0"/>
            </w:tcBorders>
            <w:vAlign w:val="center"/>
          </w:tcPr>
          <w:p>
            <w:pPr>
              <w:spacing w:line="348" w:lineRule="auto"/>
              <w:jc w:val="center"/>
              <w:rPr>
                <w:rFonts w:hint="default" w:ascii="宋体" w:hAnsi="宋体" w:eastAsia="宋体" w:cs="宋体"/>
                <w:kern w:val="0"/>
                <w:szCs w:val="21"/>
                <w:lang w:val="en-US" w:eastAsia="zh-CN"/>
              </w:rPr>
            </w:pPr>
          </w:p>
        </w:tc>
      </w:tr>
    </w:tbl>
    <w:p>
      <w:pPr>
        <w:spacing w:line="348" w:lineRule="auto"/>
        <w:ind w:left="360"/>
        <w:rPr>
          <w:rFonts w:ascii="宋体" w:hAnsi="宋体"/>
          <w:b/>
          <w:bCs/>
          <w:sz w:val="24"/>
        </w:rPr>
      </w:pPr>
      <w:r>
        <w:rPr>
          <w:rFonts w:hint="eastAsia" w:ascii="宋体" w:hAnsi="宋体"/>
          <w:b/>
          <w:bCs/>
          <w:sz w:val="24"/>
        </w:rPr>
        <w:t>（二）对租金是否包含税费，双方达成一致意见为以下第</w:t>
      </w:r>
      <w:r>
        <w:rPr>
          <w:rFonts w:hint="eastAsia" w:ascii="宋体" w:hAnsi="宋体"/>
          <w:b/>
          <w:bCs/>
          <w:sz w:val="24"/>
          <w:u w:val="single"/>
        </w:rPr>
        <w:t xml:space="preserve"> 1 </w:t>
      </w:r>
      <w:r>
        <w:rPr>
          <w:rFonts w:hint="eastAsia" w:ascii="宋体" w:hAnsi="宋体"/>
          <w:b/>
          <w:bCs/>
          <w:sz w:val="24"/>
        </w:rPr>
        <w:t>种：</w:t>
      </w:r>
    </w:p>
    <w:p>
      <w:pPr>
        <w:spacing w:line="348" w:lineRule="auto"/>
        <w:ind w:firstLine="480" w:firstLineChars="200"/>
        <w:rPr>
          <w:rFonts w:ascii="宋体" w:hAnsi="宋体"/>
          <w:sz w:val="24"/>
        </w:rPr>
      </w:pPr>
      <w:r>
        <w:rPr>
          <w:rFonts w:hint="eastAsia" w:ascii="宋体" w:hAnsi="宋体"/>
          <w:sz w:val="24"/>
        </w:rPr>
        <w:t>1、租金已含税费，税费由甲方负担，适用的增值税税率根据税务最新规定执行，如国家税收政策调整，则根据税法调整相应税率。</w:t>
      </w:r>
    </w:p>
    <w:p>
      <w:pPr>
        <w:spacing w:line="348" w:lineRule="auto"/>
        <w:ind w:firstLine="480" w:firstLineChars="200"/>
        <w:rPr>
          <w:rFonts w:ascii="宋体" w:hAnsi="宋体"/>
          <w:sz w:val="24"/>
        </w:rPr>
      </w:pPr>
      <w:r>
        <w:rPr>
          <w:rFonts w:hint="eastAsia" w:ascii="宋体" w:hAnsi="宋体"/>
          <w:sz w:val="24"/>
        </w:rPr>
        <w:t>2、租金不含税费，税费由乙方另行支付甲方。</w:t>
      </w:r>
    </w:p>
    <w:p>
      <w:pPr>
        <w:spacing w:line="348" w:lineRule="auto"/>
        <w:ind w:firstLine="480" w:firstLineChars="200"/>
        <w:rPr>
          <w:rFonts w:ascii="宋体" w:hAnsi="宋体"/>
          <w:sz w:val="24"/>
        </w:rPr>
      </w:pPr>
      <w:r>
        <w:rPr>
          <w:rFonts w:hint="eastAsia" w:ascii="宋体" w:hAnsi="宋体"/>
          <w:sz w:val="24"/>
        </w:rPr>
        <w:t>3、其他约定方式</w:t>
      </w:r>
      <w:r>
        <w:rPr>
          <w:rFonts w:hint="eastAsia" w:ascii="宋体" w:hAnsi="宋体"/>
          <w:sz w:val="24"/>
          <w:u w:val="single"/>
        </w:rPr>
        <w:t xml:space="preserve"> / </w:t>
      </w:r>
      <w:r>
        <w:rPr>
          <w:rFonts w:hint="eastAsia" w:ascii="宋体" w:hAnsi="宋体"/>
          <w:sz w:val="24"/>
        </w:rPr>
        <w:t>。</w:t>
      </w:r>
    </w:p>
    <w:p>
      <w:pPr>
        <w:spacing w:line="348" w:lineRule="auto"/>
        <w:ind w:left="360"/>
        <w:rPr>
          <w:rFonts w:ascii="宋体" w:hAnsi="宋体"/>
          <w:b/>
          <w:bCs/>
          <w:sz w:val="24"/>
        </w:rPr>
      </w:pPr>
      <w:r>
        <w:rPr>
          <w:rFonts w:hint="eastAsia" w:ascii="宋体" w:hAnsi="宋体"/>
          <w:b/>
          <w:bCs/>
          <w:sz w:val="24"/>
        </w:rPr>
        <w:t>（三）租金收款账户</w:t>
      </w:r>
    </w:p>
    <w:p>
      <w:pPr>
        <w:spacing w:line="348" w:lineRule="auto"/>
        <w:ind w:firstLine="480" w:firstLineChars="200"/>
        <w:rPr>
          <w:rFonts w:ascii="宋体" w:hAnsi="宋体"/>
          <w:sz w:val="24"/>
        </w:rPr>
      </w:pPr>
      <w:r>
        <w:rPr>
          <w:rFonts w:hint="eastAsia" w:ascii="宋体" w:hAnsi="宋体"/>
          <w:sz w:val="24"/>
        </w:rPr>
        <w:t>甲方租金收款账户为：</w:t>
      </w:r>
    </w:p>
    <w:p>
      <w:pPr>
        <w:spacing w:line="348" w:lineRule="auto"/>
        <w:ind w:firstLine="480" w:firstLineChars="200"/>
        <w:rPr>
          <w:rFonts w:hint="eastAsia" w:ascii="宋体" w:hAnsi="宋体"/>
          <w:sz w:val="24"/>
        </w:rPr>
      </w:pPr>
      <w:r>
        <w:rPr>
          <w:rFonts w:hint="eastAsia" w:ascii="宋体" w:hAnsi="宋体"/>
          <w:sz w:val="24"/>
        </w:rPr>
        <w:t>户名：</w:t>
      </w:r>
      <w:r>
        <w:rPr>
          <w:rFonts w:ascii="微软雅黑" w:hAnsi="微软雅黑" w:eastAsia="微软雅黑" w:cs="微软雅黑"/>
          <w:i w:val="0"/>
          <w:iCs w:val="0"/>
          <w:caps w:val="0"/>
          <w:color w:val="26231C"/>
          <w:spacing w:val="0"/>
          <w:sz w:val="19"/>
          <w:szCs w:val="19"/>
          <w:shd w:val="clear" w:fill="FFFFFF"/>
        </w:rPr>
        <w:t>福建海峡银行股份有限公司</w:t>
      </w:r>
      <w:r>
        <w:rPr>
          <w:rFonts w:hint="eastAsia" w:ascii="微软雅黑" w:hAnsi="微软雅黑" w:eastAsia="微软雅黑" w:cs="微软雅黑"/>
          <w:i w:val="0"/>
          <w:iCs w:val="0"/>
          <w:caps w:val="0"/>
          <w:color w:val="2179F4"/>
          <w:spacing w:val="0"/>
          <w:sz w:val="19"/>
          <w:szCs w:val="19"/>
          <w:shd w:val="clear" w:fill="FFFFFF"/>
        </w:rPr>
        <w:t>龙岩分行</w:t>
      </w:r>
    </w:p>
    <w:p>
      <w:pPr>
        <w:spacing w:line="348" w:lineRule="auto"/>
        <w:ind w:firstLine="480" w:firstLineChars="200"/>
        <w:rPr>
          <w:rFonts w:ascii="宋体" w:hAnsi="宋体"/>
          <w:sz w:val="24"/>
        </w:rPr>
      </w:pPr>
      <w:r>
        <w:rPr>
          <w:rFonts w:hint="eastAsia" w:ascii="宋体" w:hAnsi="宋体"/>
          <w:sz w:val="24"/>
        </w:rPr>
        <w:t>开户行：福建海峡银行</w:t>
      </w:r>
      <w:r>
        <w:rPr>
          <w:rFonts w:hint="eastAsia" w:ascii="宋体" w:hAnsi="宋体"/>
          <w:sz w:val="24"/>
          <w:lang w:val="en-US" w:eastAsia="zh-CN"/>
        </w:rPr>
        <w:t>龙岩分行</w:t>
      </w:r>
      <w:r>
        <w:rPr>
          <w:rFonts w:hint="eastAsia" w:ascii="宋体" w:hAnsi="宋体"/>
          <w:sz w:val="24"/>
        </w:rPr>
        <w:t>营业部</w:t>
      </w:r>
    </w:p>
    <w:p>
      <w:pPr>
        <w:spacing w:line="348" w:lineRule="auto"/>
        <w:ind w:firstLine="480" w:firstLineChars="200"/>
        <w:rPr>
          <w:rFonts w:ascii="宋体" w:hAnsi="宋体"/>
          <w:sz w:val="24"/>
        </w:rPr>
      </w:pPr>
      <w:r>
        <w:rPr>
          <w:rFonts w:hint="eastAsia" w:ascii="宋体" w:hAnsi="宋体"/>
          <w:sz w:val="24"/>
        </w:rPr>
        <w:t>账号：</w:t>
      </w:r>
      <w:r>
        <w:rPr>
          <w:rFonts w:ascii="微软雅黑" w:hAnsi="微软雅黑" w:eastAsia="微软雅黑" w:cs="微软雅黑"/>
          <w:i w:val="0"/>
          <w:iCs w:val="0"/>
          <w:caps w:val="0"/>
          <w:color w:val="26231C"/>
          <w:spacing w:val="0"/>
          <w:sz w:val="19"/>
          <w:szCs w:val="19"/>
          <w:shd w:val="clear" w:fill="FFFFFF"/>
        </w:rPr>
        <w:t>100027206440010001</w:t>
      </w:r>
    </w:p>
    <w:p>
      <w:pPr>
        <w:spacing w:line="348" w:lineRule="auto"/>
        <w:ind w:firstLine="480" w:firstLineChars="200"/>
        <w:rPr>
          <w:rFonts w:ascii="宋体" w:hAnsi="宋体"/>
          <w:sz w:val="24"/>
        </w:rPr>
      </w:pPr>
      <w:r>
        <w:rPr>
          <w:rFonts w:ascii="宋体" w:hAnsi="宋体"/>
          <w:sz w:val="24"/>
        </w:rPr>
        <w:t>如</w:t>
      </w:r>
      <w:r>
        <w:rPr>
          <w:rFonts w:hint="eastAsia" w:ascii="宋体" w:hAnsi="宋体"/>
          <w:sz w:val="24"/>
        </w:rPr>
        <w:t>甲</w:t>
      </w:r>
      <w:r>
        <w:rPr>
          <w:rFonts w:ascii="宋体" w:hAnsi="宋体"/>
          <w:sz w:val="24"/>
        </w:rPr>
        <w:t>方上述指定收款账户发生变更的，应在</w:t>
      </w:r>
      <w:r>
        <w:rPr>
          <w:rFonts w:hint="eastAsia" w:ascii="宋体" w:hAnsi="宋体"/>
          <w:sz w:val="24"/>
        </w:rPr>
        <w:t>乙方</w:t>
      </w:r>
      <w:r>
        <w:rPr>
          <w:rFonts w:ascii="宋体" w:hAnsi="宋体"/>
          <w:sz w:val="24"/>
        </w:rPr>
        <w:t>付款前10日内书面</w:t>
      </w:r>
      <w:r>
        <w:rPr>
          <w:rFonts w:hint="eastAsia" w:ascii="宋体" w:hAnsi="宋体"/>
          <w:sz w:val="24"/>
        </w:rPr>
        <w:t>通知乙方。</w:t>
      </w:r>
    </w:p>
    <w:p>
      <w:pPr>
        <w:spacing w:line="348" w:lineRule="auto"/>
        <w:ind w:firstLine="482" w:firstLineChars="200"/>
        <w:rPr>
          <w:rFonts w:ascii="宋体" w:hAnsi="宋体"/>
          <w:sz w:val="24"/>
        </w:rPr>
      </w:pPr>
      <w:r>
        <w:rPr>
          <w:rFonts w:hint="eastAsia" w:ascii="宋体" w:hAnsi="宋体"/>
          <w:b/>
          <w:bCs/>
          <w:sz w:val="24"/>
        </w:rPr>
        <w:t>（四）对租金、税费等事宜其他约定事项:</w:t>
      </w:r>
      <w:r>
        <w:rPr>
          <w:rFonts w:hint="eastAsia" w:ascii="宋体" w:hAnsi="宋体"/>
          <w:sz w:val="24"/>
        </w:rPr>
        <w:t>因本次房屋租赁而发生的其他税收、行政事业性收费，由甲乙双方依据我国税收法律法规的规定承担。</w:t>
      </w:r>
    </w:p>
    <w:p>
      <w:pPr>
        <w:spacing w:line="348" w:lineRule="auto"/>
        <w:ind w:firstLine="482" w:firstLineChars="200"/>
        <w:rPr>
          <w:rFonts w:ascii="宋体" w:hAnsi="宋体"/>
          <w:b/>
          <w:sz w:val="24"/>
        </w:rPr>
      </w:pPr>
      <w:r>
        <w:rPr>
          <w:rFonts w:hint="eastAsia" w:ascii="宋体" w:hAnsi="宋体"/>
          <w:b/>
          <w:sz w:val="24"/>
        </w:rPr>
        <w:t>第四条 履约保证金及其支付时间、支付方式、退还方式等事宜</w:t>
      </w:r>
    </w:p>
    <w:p>
      <w:pPr>
        <w:spacing w:line="348" w:lineRule="auto"/>
        <w:ind w:firstLine="480" w:firstLineChars="200"/>
        <w:rPr>
          <w:rFonts w:ascii="宋体" w:hAnsi="宋体"/>
          <w:sz w:val="24"/>
        </w:rPr>
      </w:pPr>
      <w:r>
        <w:rPr>
          <w:rFonts w:hint="eastAsia" w:ascii="宋体" w:hAnsi="宋体"/>
          <w:sz w:val="24"/>
        </w:rPr>
        <w:t>双方对乙方是否需要缴纳履约保证金达成一致意见为以下第</w:t>
      </w:r>
      <w:r>
        <w:rPr>
          <w:rFonts w:hint="eastAsia" w:ascii="宋体" w:hAnsi="宋体"/>
          <w:sz w:val="24"/>
          <w:u w:val="single"/>
        </w:rPr>
        <w:t>2</w:t>
      </w:r>
      <w:r>
        <w:rPr>
          <w:rFonts w:hint="eastAsia" w:ascii="宋体" w:hAnsi="宋体"/>
          <w:sz w:val="24"/>
        </w:rPr>
        <w:t>种：</w:t>
      </w:r>
    </w:p>
    <w:p>
      <w:pPr>
        <w:spacing w:line="348" w:lineRule="auto"/>
        <w:ind w:firstLine="480" w:firstLineChars="200"/>
        <w:rPr>
          <w:rFonts w:ascii="宋体" w:hAnsi="宋体"/>
          <w:sz w:val="24"/>
        </w:rPr>
      </w:pPr>
      <w:r>
        <w:rPr>
          <w:rFonts w:hint="eastAsia" w:ascii="宋体" w:hAnsi="宋体"/>
          <w:sz w:val="24"/>
        </w:rPr>
        <w:t>1、不需要缴纳。</w:t>
      </w:r>
    </w:p>
    <w:p>
      <w:pPr>
        <w:spacing w:line="348" w:lineRule="auto"/>
        <w:ind w:firstLine="480" w:firstLineChars="200"/>
        <w:rPr>
          <w:rFonts w:ascii="宋体" w:hAnsi="宋体"/>
          <w:sz w:val="24"/>
        </w:rPr>
      </w:pPr>
      <w:r>
        <w:rPr>
          <w:rFonts w:hint="eastAsia" w:ascii="宋体" w:hAnsi="宋体"/>
          <w:sz w:val="24"/>
        </w:rPr>
        <w:t>2、需要缴纳，保证金数额为人民币（大写）：</w:t>
      </w:r>
      <w:r>
        <w:rPr>
          <w:rFonts w:hint="eastAsia" w:ascii="宋体" w:hAnsi="宋体"/>
          <w:sz w:val="24"/>
          <w:u w:val="single"/>
          <w:lang w:val="en-US" w:eastAsia="zh-CN"/>
        </w:rPr>
        <w:t xml:space="preserve"> 壹万伍仟</w:t>
      </w:r>
      <w:r>
        <w:rPr>
          <w:rFonts w:hint="eastAsia" w:ascii="宋体" w:hAnsi="宋体"/>
          <w:sz w:val="24"/>
          <w:u w:val="single"/>
        </w:rPr>
        <w:t>元</w:t>
      </w:r>
      <w:r>
        <w:rPr>
          <w:rFonts w:hint="eastAsia" w:ascii="宋体" w:hAnsi="宋体"/>
          <w:sz w:val="24"/>
          <w:u w:val="single"/>
          <w:lang w:eastAsia="zh-CN"/>
        </w:rPr>
        <w:t>整</w:t>
      </w:r>
      <w:r>
        <w:rPr>
          <w:rFonts w:hint="eastAsia" w:ascii="宋体" w:hAnsi="宋体"/>
          <w:sz w:val="24"/>
        </w:rPr>
        <w:t>（￥</w:t>
      </w:r>
      <w:r>
        <w:rPr>
          <w:rFonts w:hint="eastAsia" w:ascii="宋体" w:hAnsi="宋体"/>
          <w:sz w:val="24"/>
          <w:u w:val="single"/>
          <w:lang w:val="en-US" w:eastAsia="zh-CN"/>
        </w:rPr>
        <w:t xml:space="preserve"> 15000     </w:t>
      </w:r>
      <w:r>
        <w:rPr>
          <w:rFonts w:hint="eastAsia" w:ascii="宋体" w:hAnsi="宋体"/>
          <w:sz w:val="24"/>
        </w:rPr>
        <w:t>元），乙方需于本合同生效后</w:t>
      </w:r>
      <w:r>
        <w:rPr>
          <w:rFonts w:hint="eastAsia" w:ascii="宋体" w:hAnsi="宋体"/>
          <w:sz w:val="24"/>
          <w:lang w:val="en-US" w:eastAsia="zh-CN"/>
        </w:rPr>
        <w:t>10</w:t>
      </w:r>
      <w:r>
        <w:rPr>
          <w:rFonts w:hint="eastAsia" w:ascii="宋体" w:hAnsi="宋体"/>
          <w:sz w:val="24"/>
        </w:rPr>
        <w:t>个工作日内一次性缴纳，甲方应于收款后十个工作日内向乙方出具</w:t>
      </w:r>
      <w:r>
        <w:rPr>
          <w:rFonts w:hint="eastAsia" w:ascii="宋体" w:hAnsi="宋体"/>
          <w:sz w:val="24"/>
          <w:lang w:eastAsia="zh-CN"/>
        </w:rPr>
        <w:t>履约</w:t>
      </w:r>
      <w:r>
        <w:rPr>
          <w:rFonts w:hint="eastAsia" w:ascii="宋体" w:hAnsi="宋体"/>
          <w:sz w:val="24"/>
        </w:rPr>
        <w:t>保证金收据。</w:t>
      </w:r>
      <w:r>
        <w:rPr>
          <w:rFonts w:hint="eastAsia" w:ascii="宋体" w:hAnsi="宋体"/>
          <w:sz w:val="24"/>
          <w:lang w:eastAsia="zh-CN"/>
        </w:rPr>
        <w:t>履约</w:t>
      </w:r>
      <w:r>
        <w:rPr>
          <w:rFonts w:hint="eastAsia" w:ascii="宋体" w:hAnsi="宋体"/>
          <w:sz w:val="24"/>
        </w:rPr>
        <w:t>保证金不计利息，合同终止，若乙方已结清所有款项，则甲方须于20个工作日</w:t>
      </w:r>
      <w:r>
        <w:rPr>
          <w:rFonts w:ascii="宋体" w:hAnsi="宋体"/>
          <w:sz w:val="24"/>
        </w:rPr>
        <w:t>内</w:t>
      </w:r>
      <w:r>
        <w:rPr>
          <w:rFonts w:hint="eastAsia" w:ascii="宋体" w:hAnsi="宋体"/>
          <w:sz w:val="24"/>
        </w:rPr>
        <w:t>，将剩余</w:t>
      </w:r>
      <w:r>
        <w:rPr>
          <w:rFonts w:hint="eastAsia" w:ascii="宋体" w:hAnsi="宋体"/>
          <w:sz w:val="24"/>
          <w:lang w:eastAsia="zh-CN"/>
        </w:rPr>
        <w:t>履约</w:t>
      </w:r>
      <w:r>
        <w:rPr>
          <w:rFonts w:hint="eastAsia" w:ascii="宋体" w:hAnsi="宋体"/>
          <w:sz w:val="24"/>
        </w:rPr>
        <w:t>保证金无息退还乙方。</w:t>
      </w:r>
      <w:r>
        <w:rPr>
          <w:rFonts w:hint="eastAsia" w:ascii="宋体" w:hAnsi="宋体"/>
          <w:sz w:val="24"/>
          <w:lang w:eastAsia="zh-CN"/>
        </w:rPr>
        <w:t>若履约保证金按约定被扣划，则乙方应在</w:t>
      </w:r>
      <w:r>
        <w:rPr>
          <w:rFonts w:hint="eastAsia" w:ascii="宋体" w:hAnsi="宋体"/>
          <w:sz w:val="24"/>
          <w:lang w:val="en-US" w:eastAsia="zh-CN"/>
        </w:rPr>
        <w:t>10个工作日内补齐履约保证金。</w:t>
      </w:r>
    </w:p>
    <w:p>
      <w:pPr>
        <w:spacing w:line="348" w:lineRule="auto"/>
        <w:ind w:firstLine="482" w:firstLineChars="200"/>
        <w:rPr>
          <w:rFonts w:ascii="宋体" w:hAnsi="宋体"/>
          <w:b/>
          <w:sz w:val="24"/>
        </w:rPr>
      </w:pPr>
      <w:r>
        <w:rPr>
          <w:rFonts w:hint="eastAsia" w:ascii="宋体" w:hAnsi="宋体"/>
          <w:b/>
          <w:sz w:val="24"/>
        </w:rPr>
        <w:t>第五条 水电费、网络宽带费用、电话费、清洁费、维修费、物业管理费、停车费及其他费用的承担：</w:t>
      </w:r>
    </w:p>
    <w:p>
      <w:pPr>
        <w:spacing w:line="348" w:lineRule="auto"/>
        <w:ind w:firstLine="480" w:firstLineChars="200"/>
        <w:rPr>
          <w:rFonts w:ascii="宋体" w:hAnsi="宋体"/>
          <w:sz w:val="24"/>
        </w:rPr>
      </w:pPr>
      <w:r>
        <w:rPr>
          <w:rFonts w:hint="eastAsia" w:ascii="宋体" w:hAnsi="宋体"/>
          <w:sz w:val="24"/>
        </w:rPr>
        <w:t>（一）物业管理费由乙方承担，按照租赁建筑面积计算，物业费收费标准1</w:t>
      </w:r>
      <w:ins w:id="2" w:author="童六秀" w:date="2025-06-16T14:56:12Z">
        <w:r>
          <w:rPr>
            <w:rFonts w:hint="eastAsia" w:ascii="宋体" w:hAnsi="宋体"/>
            <w:sz w:val="24"/>
            <w:lang w:val="en-US" w:eastAsia="zh-CN"/>
          </w:rPr>
          <w:t>.5</w:t>
        </w:r>
      </w:ins>
      <w:r>
        <w:rPr>
          <w:rFonts w:hint="eastAsia" w:ascii="宋体" w:hAnsi="宋体"/>
          <w:sz w:val="24"/>
        </w:rPr>
        <w:t>元/平方米/月。大楼物业服务单位和收费标准如有调整，由乙方和物业服务单位另行签订协议确认。物业管理费先付后用，按季支付，具体</w:t>
      </w:r>
      <w:r>
        <w:rPr>
          <w:rFonts w:ascii="宋体" w:hAnsi="宋体"/>
          <w:sz w:val="24"/>
        </w:rPr>
        <w:t>要求根据乙方与大楼物业服务单位签订的物业服务合同执行，费用直接支付至大楼物业服务单位</w:t>
      </w:r>
      <w:r>
        <w:rPr>
          <w:rFonts w:hint="eastAsia" w:ascii="宋体" w:hAnsi="宋体"/>
          <w:sz w:val="24"/>
        </w:rPr>
        <w:t>相关</w:t>
      </w:r>
      <w:r>
        <w:rPr>
          <w:rFonts w:ascii="宋体" w:hAnsi="宋体"/>
          <w:sz w:val="24"/>
        </w:rPr>
        <w:t>账户</w:t>
      </w:r>
      <w:r>
        <w:rPr>
          <w:rFonts w:hint="eastAsia" w:ascii="宋体" w:hAnsi="宋体"/>
          <w:sz w:val="24"/>
        </w:rPr>
        <w:t>，与甲方无关。</w:t>
      </w:r>
    </w:p>
    <w:p>
      <w:pPr>
        <w:spacing w:line="348" w:lineRule="auto"/>
        <w:ind w:firstLine="480" w:firstLineChars="200"/>
        <w:rPr>
          <w:rFonts w:ascii="宋体" w:hAnsi="宋体"/>
          <w:sz w:val="24"/>
        </w:rPr>
      </w:pPr>
      <w:r>
        <w:rPr>
          <w:rFonts w:hint="eastAsia" w:ascii="宋体" w:hAnsi="宋体"/>
          <w:sz w:val="24"/>
        </w:rPr>
        <w:t>（二）水电费由乙方承担。</w:t>
      </w:r>
      <w:r>
        <w:rPr>
          <w:rFonts w:hint="eastAsia" w:ascii="宋体" w:hAnsi="宋体"/>
          <w:sz w:val="24"/>
          <w:lang w:eastAsia="zh-CN"/>
        </w:rPr>
        <w:t>水费和</w:t>
      </w:r>
      <w:r>
        <w:rPr>
          <w:rFonts w:hint="eastAsia" w:ascii="宋体" w:hAnsi="宋体"/>
          <w:sz w:val="24"/>
        </w:rPr>
        <w:t>电费按实际用量</w:t>
      </w:r>
      <w:r>
        <w:rPr>
          <w:rFonts w:hint="eastAsia" w:ascii="宋体" w:hAnsi="宋体"/>
          <w:sz w:val="24"/>
          <w:lang w:eastAsia="zh-CN"/>
        </w:rPr>
        <w:t>各</w:t>
      </w:r>
      <w:r>
        <w:rPr>
          <w:rFonts w:hint="eastAsia" w:ascii="宋体" w:hAnsi="宋体"/>
          <w:sz w:val="24"/>
        </w:rPr>
        <w:t>加</w:t>
      </w:r>
      <w:r>
        <w:rPr>
          <w:rFonts w:ascii="宋体" w:hAnsi="宋体"/>
          <w:sz w:val="24"/>
        </w:rPr>
        <w:t>20</w:t>
      </w:r>
      <w:r>
        <w:rPr>
          <w:rFonts w:hint="eastAsia" w:ascii="宋体" w:hAnsi="宋体"/>
          <w:sz w:val="24"/>
        </w:rPr>
        <w:t>%的标准由甲方代收缴交。</w:t>
      </w:r>
    </w:p>
    <w:p>
      <w:pPr>
        <w:spacing w:line="348" w:lineRule="auto"/>
        <w:ind w:firstLine="480" w:firstLineChars="200"/>
        <w:rPr>
          <w:rFonts w:ascii="宋体" w:hAnsi="宋体"/>
          <w:sz w:val="24"/>
        </w:rPr>
      </w:pPr>
      <w:r>
        <w:rPr>
          <w:rFonts w:hint="eastAsia" w:ascii="宋体" w:hAnsi="宋体"/>
          <w:sz w:val="24"/>
        </w:rPr>
        <w:t>水电费支付</w:t>
      </w:r>
      <w:r>
        <w:rPr>
          <w:rFonts w:ascii="宋体" w:hAnsi="宋体"/>
          <w:sz w:val="24"/>
        </w:rPr>
        <w:t>时间：</w:t>
      </w:r>
      <w:r>
        <w:rPr>
          <w:rFonts w:hint="eastAsia" w:ascii="宋体" w:hAnsi="宋体"/>
          <w:sz w:val="24"/>
          <w:lang w:eastAsia="zh-CN"/>
        </w:rPr>
        <w:t>水</w:t>
      </w:r>
      <w:r>
        <w:rPr>
          <w:rFonts w:ascii="宋体" w:hAnsi="宋体"/>
          <w:sz w:val="24"/>
        </w:rPr>
        <w:t>电费</w:t>
      </w:r>
      <w:r>
        <w:rPr>
          <w:rFonts w:hint="eastAsia" w:ascii="宋体" w:hAnsi="宋体"/>
          <w:sz w:val="24"/>
        </w:rPr>
        <w:t>先用后付，每季度结算支付一次，每次与</w:t>
      </w:r>
      <w:r>
        <w:rPr>
          <w:rFonts w:ascii="宋体" w:hAnsi="宋体"/>
          <w:sz w:val="24"/>
        </w:rPr>
        <w:t>租金一并支付</w:t>
      </w:r>
      <w:r>
        <w:rPr>
          <w:rFonts w:hint="eastAsia" w:ascii="宋体" w:hAnsi="宋体"/>
          <w:sz w:val="24"/>
        </w:rPr>
        <w:t>，最后一次于退</w:t>
      </w:r>
      <w:r>
        <w:rPr>
          <w:rFonts w:hint="eastAsia" w:ascii="宋体" w:hAnsi="宋体"/>
          <w:sz w:val="24"/>
          <w:lang w:eastAsia="zh-CN"/>
        </w:rPr>
        <w:t>租</w:t>
      </w:r>
      <w:r>
        <w:rPr>
          <w:rFonts w:hint="eastAsia" w:ascii="宋体" w:hAnsi="宋体"/>
          <w:sz w:val="24"/>
        </w:rPr>
        <w:t>时一并结清</w:t>
      </w:r>
      <w:r>
        <w:rPr>
          <w:rFonts w:ascii="宋体" w:hAnsi="宋体"/>
          <w:sz w:val="24"/>
        </w:rPr>
        <w:t>。</w:t>
      </w:r>
      <w:r>
        <w:rPr>
          <w:rFonts w:hint="eastAsia" w:ascii="宋体" w:hAnsi="宋体"/>
          <w:sz w:val="24"/>
        </w:rPr>
        <w:t>乙方向甲方支付水电费前5个工作日，甲方应向乙方开具合法有效的等额增值税【</w:t>
      </w:r>
      <w:r>
        <w:rPr>
          <w:rFonts w:hint="eastAsia" w:ascii="宋体" w:hAnsi="宋体"/>
          <w:sz w:val="24"/>
          <w:lang w:eastAsia="zh-CN"/>
        </w:rPr>
        <w:t>普通</w:t>
      </w:r>
      <w:r>
        <w:rPr>
          <w:rFonts w:hint="eastAsia" w:ascii="宋体" w:hAnsi="宋体"/>
          <w:sz w:val="24"/>
          <w:lang w:val="en-US" w:eastAsia="zh-CN"/>
        </w:rPr>
        <w:t>/</w:t>
      </w:r>
      <w:r>
        <w:rPr>
          <w:rFonts w:hint="eastAsia" w:ascii="宋体" w:hAnsi="宋体"/>
          <w:sz w:val="24"/>
        </w:rPr>
        <w:t>专用】发票。</w:t>
      </w:r>
    </w:p>
    <w:p>
      <w:pPr>
        <w:spacing w:line="348" w:lineRule="auto"/>
        <w:ind w:firstLine="480" w:firstLineChars="200"/>
        <w:rPr>
          <w:rFonts w:ascii="宋体" w:hAnsi="宋体"/>
          <w:sz w:val="24"/>
        </w:rPr>
      </w:pPr>
      <w:r>
        <w:rPr>
          <w:rFonts w:hint="eastAsia" w:ascii="宋体" w:hAnsi="宋体"/>
          <w:sz w:val="24"/>
        </w:rPr>
        <w:t>（三）网络宽带费用、电话费、清洁费、及其他费用的支付方式按以下第</w:t>
      </w:r>
      <w:r>
        <w:rPr>
          <w:rFonts w:ascii="宋体" w:hAnsi="宋体"/>
          <w:sz w:val="24"/>
          <w:u w:val="single"/>
        </w:rPr>
        <w:t xml:space="preserve">  1  </w:t>
      </w:r>
      <w:r>
        <w:rPr>
          <w:rFonts w:hint="eastAsia" w:ascii="宋体" w:hAnsi="宋体"/>
          <w:sz w:val="24"/>
        </w:rPr>
        <w:t>种执行：</w:t>
      </w:r>
    </w:p>
    <w:p>
      <w:pPr>
        <w:spacing w:line="348" w:lineRule="auto"/>
        <w:ind w:firstLine="480" w:firstLineChars="200"/>
        <w:rPr>
          <w:rFonts w:ascii="宋体" w:hAnsi="宋体"/>
          <w:sz w:val="24"/>
        </w:rPr>
      </w:pPr>
      <w:r>
        <w:rPr>
          <w:rFonts w:ascii="宋体" w:hAnsi="宋体"/>
          <w:sz w:val="24"/>
        </w:rPr>
        <w:t>1、由乙方自行向相关机构或部门缴纳,甲方协助办理相关手续。</w:t>
      </w:r>
    </w:p>
    <w:p>
      <w:pPr>
        <w:spacing w:line="348" w:lineRule="auto"/>
        <w:ind w:firstLine="480" w:firstLineChars="200"/>
        <w:rPr>
          <w:rFonts w:ascii="宋体" w:hAnsi="宋体"/>
          <w:sz w:val="24"/>
        </w:rPr>
      </w:pPr>
      <w:r>
        <w:rPr>
          <w:rFonts w:ascii="宋体" w:hAnsi="宋体"/>
          <w:sz w:val="24"/>
        </w:rPr>
        <w:t>2、乙方承担费用，由甲方向相关机构或部门办理缴费手续。</w:t>
      </w:r>
    </w:p>
    <w:p>
      <w:pPr>
        <w:spacing w:line="348" w:lineRule="auto"/>
        <w:ind w:firstLine="482" w:firstLineChars="200"/>
        <w:rPr>
          <w:rFonts w:ascii="宋体" w:hAnsi="宋体"/>
          <w:b/>
          <w:sz w:val="24"/>
        </w:rPr>
      </w:pPr>
      <w:r>
        <w:rPr>
          <w:rFonts w:hint="eastAsia" w:ascii="宋体" w:hAnsi="宋体"/>
          <w:b/>
          <w:sz w:val="24"/>
        </w:rPr>
        <w:t>第</w:t>
      </w:r>
      <w:r>
        <w:rPr>
          <w:rFonts w:hint="eastAsia" w:ascii="宋体" w:hAnsi="宋体"/>
          <w:b/>
          <w:sz w:val="24"/>
          <w:lang w:eastAsia="zh-CN"/>
        </w:rPr>
        <w:t>六</w:t>
      </w:r>
      <w:r>
        <w:rPr>
          <w:rFonts w:hint="eastAsia" w:ascii="宋体" w:hAnsi="宋体"/>
          <w:b/>
          <w:sz w:val="24"/>
        </w:rPr>
        <w:t>条 双方的权利义务</w:t>
      </w:r>
    </w:p>
    <w:p>
      <w:pPr>
        <w:spacing w:line="348" w:lineRule="auto"/>
        <w:ind w:firstLine="482" w:firstLineChars="200"/>
        <w:rPr>
          <w:rFonts w:ascii="宋体" w:hAnsi="宋体"/>
          <w:b/>
          <w:sz w:val="24"/>
        </w:rPr>
      </w:pPr>
      <w:r>
        <w:rPr>
          <w:rFonts w:hint="eastAsia" w:ascii="宋体" w:hAnsi="宋体"/>
          <w:b/>
          <w:sz w:val="24"/>
        </w:rPr>
        <w:t>（一）甲方的权利义务</w:t>
      </w:r>
    </w:p>
    <w:p>
      <w:pPr>
        <w:spacing w:line="348" w:lineRule="auto"/>
        <w:ind w:firstLine="480" w:firstLineChars="200"/>
        <w:rPr>
          <w:rFonts w:ascii="宋体" w:hAnsi="宋体"/>
          <w:sz w:val="24"/>
        </w:rPr>
      </w:pPr>
      <w:r>
        <w:rPr>
          <w:rFonts w:hint="eastAsia" w:ascii="宋体" w:hAnsi="宋体"/>
          <w:sz w:val="24"/>
        </w:rPr>
        <w:t>1、甲方有权按照本合同约定向乙方收取租金、停车费，代收代缴水电费用。乙方逾期支付租金或上述其他费用，甲方有权</w:t>
      </w:r>
      <w:r>
        <w:rPr>
          <w:rFonts w:hint="eastAsia" w:ascii="宋体" w:hAnsi="宋体"/>
          <w:sz w:val="24"/>
          <w:lang w:eastAsia="zh-CN"/>
        </w:rPr>
        <w:t>扣除最近</w:t>
      </w:r>
      <w:r>
        <w:rPr>
          <w:rFonts w:hint="eastAsia" w:ascii="宋体" w:hAnsi="宋体"/>
          <w:sz w:val="24"/>
          <w:lang w:val="en-US" w:eastAsia="zh-CN"/>
        </w:rPr>
        <w:t>1个月租金的</w:t>
      </w:r>
      <w:r>
        <w:rPr>
          <w:rFonts w:hint="eastAsia" w:ascii="宋体" w:hAnsi="宋体"/>
          <w:sz w:val="24"/>
        </w:rPr>
        <w:t>违约金（为免疑义，如租赁期月租金产生变化的，本合同约定的违约金支付标准以合同解除前最近一整月月租金为基数计算），若造成甲方</w:t>
      </w:r>
      <w:r>
        <w:rPr>
          <w:rFonts w:hint="eastAsia" w:ascii="宋体" w:hAnsi="宋体"/>
          <w:sz w:val="24"/>
          <w:lang w:eastAsia="zh-CN"/>
        </w:rPr>
        <w:t>直接经济</w:t>
      </w:r>
      <w:r>
        <w:rPr>
          <w:rFonts w:hint="eastAsia" w:ascii="宋体" w:hAnsi="宋体"/>
          <w:sz w:val="24"/>
        </w:rPr>
        <w:t>损失的，甲方还有权要求乙方赔偿实际损失。甲方有权从乙方缴纳的履约保证金中扣划经甲方</w:t>
      </w:r>
      <w:r>
        <w:rPr>
          <w:rFonts w:ascii="宋体" w:hAnsi="宋体"/>
          <w:sz w:val="24"/>
        </w:rPr>
        <w:t>通知</w:t>
      </w:r>
      <w:r>
        <w:rPr>
          <w:rFonts w:hint="eastAsia" w:ascii="宋体" w:hAnsi="宋体"/>
          <w:sz w:val="24"/>
        </w:rPr>
        <w:t>的乙方应付未付的款项或违约金。</w:t>
      </w:r>
    </w:p>
    <w:p>
      <w:pPr>
        <w:spacing w:line="348" w:lineRule="auto"/>
        <w:ind w:firstLine="480" w:firstLineChars="200"/>
        <w:rPr>
          <w:rFonts w:ascii="宋体" w:hAnsi="宋体"/>
          <w:sz w:val="24"/>
        </w:rPr>
      </w:pPr>
      <w:r>
        <w:rPr>
          <w:rFonts w:hint="eastAsia" w:ascii="宋体" w:hAnsi="宋体"/>
          <w:sz w:val="24"/>
        </w:rPr>
        <w:t>2、甲方有权要求乙方提供装修方案及图纸，对乙方装修施工有权进行监督，对不符合合同约定和可能损害甲方的装修方案及施工行为，甲方有权要求乙方整改或停工。</w:t>
      </w:r>
    </w:p>
    <w:p>
      <w:pPr>
        <w:spacing w:line="348" w:lineRule="auto"/>
        <w:ind w:firstLine="480" w:firstLineChars="200"/>
        <w:rPr>
          <w:rFonts w:hint="eastAsia" w:ascii="宋体" w:hAnsi="宋体"/>
          <w:sz w:val="24"/>
        </w:rPr>
      </w:pPr>
      <w:r>
        <w:rPr>
          <w:rFonts w:hint="eastAsia" w:ascii="宋体" w:hAnsi="宋体"/>
          <w:sz w:val="24"/>
        </w:rPr>
        <w:t>3</w:t>
      </w:r>
      <w:r>
        <w:rPr>
          <w:rFonts w:ascii="宋体" w:hAnsi="宋体"/>
          <w:sz w:val="24"/>
        </w:rPr>
        <w:t>、甲方应按照合同约定日期向乙方交付租赁物，并在租赁期满或解除租赁时收回租赁物</w:t>
      </w:r>
      <w:r>
        <w:rPr>
          <w:rFonts w:hint="eastAsia" w:ascii="宋体" w:hAnsi="宋体"/>
          <w:sz w:val="24"/>
        </w:rPr>
        <w:t>。甲方提前收回租赁物的，</w:t>
      </w:r>
      <w:r>
        <w:rPr>
          <w:rFonts w:hint="eastAsia" w:ascii="宋体" w:hAnsi="宋体"/>
          <w:sz w:val="24"/>
          <w:lang w:eastAsia="zh-CN"/>
        </w:rPr>
        <w:t>甲方应支付</w:t>
      </w:r>
      <w:r>
        <w:rPr>
          <w:rFonts w:hint="eastAsia" w:ascii="宋体" w:hAnsi="宋体"/>
          <w:sz w:val="24"/>
        </w:rPr>
        <w:t>乙方最近1个月的租金作为违约金</w:t>
      </w:r>
      <w:r>
        <w:rPr>
          <w:rFonts w:hint="eastAsia" w:ascii="宋体" w:hAnsi="宋体"/>
          <w:sz w:val="24"/>
          <w:lang w:eastAsia="zh-CN"/>
        </w:rPr>
        <w:t>，并退回</w:t>
      </w:r>
      <w:r>
        <w:rPr>
          <w:rFonts w:hint="eastAsia" w:ascii="宋体" w:hAnsi="宋体"/>
          <w:sz w:val="24"/>
        </w:rPr>
        <w:t>乙方已支付但尚未发生的租金</w:t>
      </w:r>
      <w:r>
        <w:rPr>
          <w:rFonts w:hint="eastAsia" w:ascii="宋体" w:hAnsi="宋体"/>
          <w:sz w:val="24"/>
          <w:lang w:eastAsia="zh-CN"/>
        </w:rPr>
        <w:t>、返还</w:t>
      </w:r>
      <w:r>
        <w:rPr>
          <w:rFonts w:hint="eastAsia" w:ascii="宋体" w:hAnsi="宋体"/>
          <w:sz w:val="24"/>
        </w:rPr>
        <w:t>扣除乙方应付未付款项或违约金后剩余的履约保证金</w:t>
      </w:r>
      <w:r>
        <w:rPr>
          <w:rFonts w:hint="eastAsia" w:ascii="宋体" w:hAnsi="宋体"/>
          <w:sz w:val="24"/>
          <w:lang w:eastAsia="zh-CN"/>
        </w:rPr>
        <w:t>。</w:t>
      </w:r>
    </w:p>
    <w:p>
      <w:pPr>
        <w:spacing w:line="348" w:lineRule="auto"/>
        <w:ind w:firstLine="480" w:firstLineChars="200"/>
        <w:rPr>
          <w:rFonts w:ascii="宋体" w:hAnsi="宋体"/>
          <w:sz w:val="24"/>
        </w:rPr>
      </w:pPr>
      <w:r>
        <w:rPr>
          <w:rFonts w:hint="eastAsia" w:ascii="宋体" w:hAnsi="宋体"/>
          <w:sz w:val="24"/>
        </w:rPr>
        <w:t>4、甲方负责公共设施设备的定期维护，承担公共设施设备正常的维修费用。公共设施发生故障的，甲方应在接到乙方通知后的</w:t>
      </w:r>
      <w:r>
        <w:rPr>
          <w:rFonts w:ascii="宋体" w:hAnsi="宋体"/>
          <w:sz w:val="24"/>
        </w:rPr>
        <w:t>2日内进行维修，情况紧急的，须在8小时以内修复。</w:t>
      </w:r>
      <w:r>
        <w:rPr>
          <w:rFonts w:hint="eastAsia" w:ascii="宋体" w:hAnsi="宋体"/>
          <w:sz w:val="24"/>
        </w:rPr>
        <w:t>部分设施维修备品备件下单生产周期较长的，可根据实际情况延长维修时间，但甲方应提供过渡期间解决方案。逾期不维修的，乙方可代为维修，费用由甲方承担。因维修房屋影响乙方使用的，具体补偿</w:t>
      </w:r>
      <w:r>
        <w:rPr>
          <w:rFonts w:ascii="宋体" w:hAnsi="宋体"/>
          <w:sz w:val="24"/>
        </w:rPr>
        <w:t>事宜由甲乙双方另行协商</w:t>
      </w:r>
      <w:r>
        <w:rPr>
          <w:rFonts w:hint="eastAsia" w:ascii="宋体" w:hAnsi="宋体"/>
          <w:sz w:val="24"/>
        </w:rPr>
        <w:t>。</w:t>
      </w:r>
    </w:p>
    <w:p>
      <w:pPr>
        <w:spacing w:line="348" w:lineRule="auto"/>
        <w:ind w:firstLine="480" w:firstLineChars="200"/>
        <w:rPr>
          <w:rFonts w:ascii="宋体" w:hAnsi="宋体"/>
          <w:sz w:val="24"/>
        </w:rPr>
      </w:pPr>
      <w:r>
        <w:rPr>
          <w:rFonts w:hint="eastAsia" w:ascii="宋体" w:hAnsi="宋体"/>
          <w:sz w:val="24"/>
        </w:rPr>
        <w:t>5、如乙方因经营需要，需将相关执照、许可证等的经营地址变更至租赁房屋所在地，甲方应协助办理，并提供办理相关变更事宜所需要的证明文件。</w:t>
      </w:r>
    </w:p>
    <w:p>
      <w:pPr>
        <w:spacing w:line="348" w:lineRule="auto"/>
        <w:ind w:firstLine="480" w:firstLineChars="200"/>
        <w:rPr>
          <w:rFonts w:ascii="宋体" w:hAnsi="宋体"/>
          <w:sz w:val="24"/>
        </w:rPr>
      </w:pPr>
      <w:r>
        <w:rPr>
          <w:rFonts w:hint="eastAsia" w:ascii="宋体" w:hAnsi="宋体"/>
          <w:sz w:val="24"/>
        </w:rPr>
        <w:t>6、法律规定和本合同约定的甲方其他权利义务及违约责任。</w:t>
      </w:r>
    </w:p>
    <w:p>
      <w:pPr>
        <w:spacing w:line="348" w:lineRule="auto"/>
        <w:ind w:firstLine="361" w:firstLineChars="150"/>
        <w:rPr>
          <w:rFonts w:ascii="宋体" w:hAnsi="宋体"/>
          <w:b/>
          <w:sz w:val="24"/>
        </w:rPr>
      </w:pPr>
      <w:r>
        <w:rPr>
          <w:rFonts w:hint="eastAsia" w:ascii="宋体" w:hAnsi="宋体"/>
          <w:b/>
          <w:sz w:val="24"/>
        </w:rPr>
        <w:t>（二）乙方的权利义务</w:t>
      </w:r>
    </w:p>
    <w:p>
      <w:pPr>
        <w:spacing w:line="348" w:lineRule="auto"/>
        <w:ind w:firstLine="480" w:firstLineChars="200"/>
        <w:rPr>
          <w:rFonts w:ascii="宋体" w:hAnsi="宋体"/>
          <w:sz w:val="24"/>
        </w:rPr>
      </w:pPr>
      <w:r>
        <w:rPr>
          <w:rFonts w:hint="eastAsia" w:ascii="宋体" w:hAnsi="宋体"/>
          <w:sz w:val="24"/>
        </w:rPr>
        <w:t>1、乙方另需装修或者增设附属设施和设备的，应事先征得甲方的书面同意，按规定须向有关部门审批的，则还应报请有关部门批准后，方可进行，相关费用及程序由乙方自行承担并完成。未经甲方同意，乙方不得变动房屋建筑主体和承重结构或者扩建，否则，乙方除应当立即恢复原状外，甲方还有权解除本合同，甲方因此解除本合同的，已收取的履约保证金不退还。</w:t>
      </w:r>
    </w:p>
    <w:p>
      <w:pPr>
        <w:spacing w:line="348" w:lineRule="auto"/>
        <w:ind w:firstLine="480" w:firstLineChars="200"/>
        <w:rPr>
          <w:rFonts w:ascii="宋体" w:hAnsi="宋体"/>
          <w:sz w:val="24"/>
        </w:rPr>
      </w:pPr>
      <w:r>
        <w:rPr>
          <w:rFonts w:hint="eastAsia" w:ascii="宋体" w:hAnsi="宋体"/>
          <w:sz w:val="24"/>
        </w:rPr>
        <w:t>2、乙方应当按照本合同约定的用途使用租赁物，未经甲方许可，擅自变更租赁用途的，甲方有权解除本合同。届时，乙方已经支付的租金和履约保证金不得要求退还。</w:t>
      </w:r>
    </w:p>
    <w:p>
      <w:pPr>
        <w:spacing w:line="348" w:lineRule="auto"/>
        <w:ind w:firstLine="480" w:firstLineChars="200"/>
        <w:rPr>
          <w:rFonts w:ascii="宋体" w:hAnsi="宋体"/>
          <w:sz w:val="24"/>
        </w:rPr>
      </w:pPr>
      <w:r>
        <w:rPr>
          <w:rFonts w:hint="eastAsia" w:ascii="宋体" w:hAnsi="宋体"/>
          <w:sz w:val="24"/>
        </w:rPr>
        <w:t>3、乙方应当按照本合同约定及时向甲方支付租金、停车费、水电费</w:t>
      </w:r>
      <w:r>
        <w:rPr>
          <w:rFonts w:ascii="宋体" w:hAnsi="宋体"/>
          <w:sz w:val="24"/>
        </w:rPr>
        <w:t>及其他各项费用</w:t>
      </w:r>
      <w:r>
        <w:rPr>
          <w:rFonts w:hint="eastAsia" w:ascii="宋体" w:hAnsi="宋体"/>
          <w:sz w:val="24"/>
        </w:rPr>
        <w:t>。否则，每逾期一日，乙方须按照应付而未付费用数额的</w:t>
      </w:r>
      <w:r>
        <w:rPr>
          <w:rFonts w:hint="eastAsia" w:ascii="宋体" w:hAnsi="宋体"/>
          <w:sz w:val="24"/>
          <w:u w:val="single"/>
        </w:rPr>
        <w:t>万分之五</w:t>
      </w:r>
      <w:r>
        <w:rPr>
          <w:rFonts w:hint="eastAsia" w:ascii="宋体" w:hAnsi="宋体"/>
          <w:sz w:val="24"/>
        </w:rPr>
        <w:t>向甲方支付日违约金。逾期达到</w:t>
      </w:r>
      <w:r>
        <w:rPr>
          <w:rFonts w:hint="eastAsia" w:ascii="宋体" w:hAnsi="宋体"/>
          <w:sz w:val="24"/>
          <w:u w:val="single"/>
        </w:rPr>
        <w:t>60</w:t>
      </w:r>
      <w:r>
        <w:rPr>
          <w:rFonts w:hint="eastAsia" w:ascii="宋体" w:hAnsi="宋体"/>
          <w:sz w:val="24"/>
        </w:rPr>
        <w:t>日的，甲方有权解除本合同，甲方因此解除本合同的，已收取的履约保证金不退还。</w:t>
      </w:r>
    </w:p>
    <w:p>
      <w:pPr>
        <w:spacing w:line="348" w:lineRule="auto"/>
        <w:ind w:firstLine="480" w:firstLineChars="200"/>
        <w:rPr>
          <w:rFonts w:hint="eastAsia" w:ascii="宋体" w:hAnsi="宋体"/>
          <w:sz w:val="24"/>
          <w:lang w:eastAsia="zh-CN"/>
        </w:rPr>
      </w:pPr>
      <w:r>
        <w:rPr>
          <w:rFonts w:hint="eastAsia" w:ascii="宋体" w:hAnsi="宋体"/>
          <w:sz w:val="24"/>
        </w:rPr>
        <w:t>4、</w:t>
      </w:r>
      <w:r>
        <w:rPr>
          <w:rFonts w:hint="eastAsia" w:ascii="宋体" w:hAnsi="宋体"/>
          <w:sz w:val="24"/>
          <w:lang w:eastAsia="zh-CN"/>
        </w:rPr>
        <w:t>乙方单方原因提前退租的，需提前</w:t>
      </w:r>
      <w:r>
        <w:rPr>
          <w:rFonts w:hint="eastAsia" w:ascii="宋体" w:hAnsi="宋体"/>
          <w:sz w:val="24"/>
          <w:lang w:val="en-US" w:eastAsia="zh-CN"/>
        </w:rPr>
        <w:t>3个月书面通知甲方，并向甲方支付最近1个月的租金作为违约金，</w:t>
      </w:r>
      <w:r>
        <w:rPr>
          <w:rFonts w:hint="eastAsia" w:ascii="宋体" w:hAnsi="宋体"/>
          <w:sz w:val="24"/>
          <w:lang w:eastAsia="zh-CN"/>
        </w:rPr>
        <w:t>甲方在合同解除或终止之日起</w:t>
      </w:r>
      <w:r>
        <w:rPr>
          <w:rFonts w:hint="eastAsia" w:ascii="宋体" w:hAnsi="宋体"/>
          <w:sz w:val="24"/>
          <w:lang w:val="en-US" w:eastAsia="zh-CN"/>
        </w:rPr>
        <w:t>1个月内</w:t>
      </w:r>
      <w:r>
        <w:rPr>
          <w:rFonts w:hint="eastAsia" w:ascii="宋体" w:hAnsi="宋体"/>
          <w:sz w:val="24"/>
          <w:lang w:eastAsia="zh-CN"/>
        </w:rPr>
        <w:t>退回乙方</w:t>
      </w:r>
      <w:r>
        <w:rPr>
          <w:rFonts w:hint="eastAsia" w:ascii="宋体" w:hAnsi="宋体"/>
          <w:sz w:val="24"/>
        </w:rPr>
        <w:t>已支付但尚未发生的租金</w:t>
      </w:r>
      <w:r>
        <w:rPr>
          <w:rFonts w:hint="eastAsia" w:ascii="宋体" w:hAnsi="宋体"/>
          <w:sz w:val="24"/>
          <w:lang w:eastAsia="zh-CN"/>
        </w:rPr>
        <w:t>、返还</w:t>
      </w:r>
      <w:r>
        <w:rPr>
          <w:rFonts w:hint="eastAsia" w:ascii="宋体" w:hAnsi="宋体"/>
          <w:sz w:val="24"/>
        </w:rPr>
        <w:t>扣除乙方应付未付款项或违约金后剩余的履约保证金</w:t>
      </w:r>
      <w:r>
        <w:rPr>
          <w:rFonts w:hint="eastAsia" w:ascii="宋体" w:hAnsi="宋体"/>
          <w:sz w:val="24"/>
          <w:lang w:eastAsia="zh-CN"/>
        </w:rPr>
        <w:t>。</w:t>
      </w:r>
      <w:r>
        <w:rPr>
          <w:rFonts w:hint="eastAsia" w:ascii="宋体" w:hAnsi="宋体"/>
          <w:sz w:val="24"/>
        </w:rPr>
        <w:t>乙方</w:t>
      </w:r>
      <w:r>
        <w:rPr>
          <w:rFonts w:hint="eastAsia" w:ascii="宋体" w:hAnsi="宋体"/>
          <w:sz w:val="24"/>
          <w:lang w:eastAsia="zh-CN"/>
        </w:rPr>
        <w:t>未提前</w:t>
      </w:r>
      <w:r>
        <w:rPr>
          <w:rFonts w:hint="eastAsia" w:ascii="宋体" w:hAnsi="宋体"/>
          <w:sz w:val="24"/>
          <w:lang w:val="en-US" w:eastAsia="zh-CN"/>
        </w:rPr>
        <w:t>3个月书面通知甲方</w:t>
      </w:r>
      <w:r>
        <w:rPr>
          <w:rFonts w:hint="eastAsia" w:ascii="宋体" w:hAnsi="宋体"/>
          <w:sz w:val="24"/>
        </w:rPr>
        <w:t>提前</w:t>
      </w:r>
      <w:r>
        <w:rPr>
          <w:rFonts w:hint="eastAsia" w:ascii="宋体" w:hAnsi="宋体"/>
          <w:sz w:val="24"/>
          <w:lang w:eastAsia="zh-CN"/>
        </w:rPr>
        <w:t>退租</w:t>
      </w:r>
      <w:r>
        <w:rPr>
          <w:rFonts w:hint="eastAsia" w:ascii="宋体" w:hAnsi="宋体"/>
          <w:sz w:val="24"/>
        </w:rPr>
        <w:t>的，甲方有权没收乙方已支付的履约保证金，且乙方应当向甲方支付最近</w:t>
      </w:r>
      <w:r>
        <w:rPr>
          <w:rFonts w:hint="eastAsia" w:ascii="宋体" w:hAnsi="宋体"/>
          <w:sz w:val="24"/>
          <w:u w:val="single"/>
          <w:lang w:val="en-US" w:eastAsia="zh-CN"/>
        </w:rPr>
        <w:t>1</w:t>
      </w:r>
      <w:r>
        <w:rPr>
          <w:rFonts w:hint="eastAsia" w:ascii="宋体" w:hAnsi="宋体"/>
          <w:sz w:val="24"/>
        </w:rPr>
        <w:t>个月</w:t>
      </w:r>
      <w:r>
        <w:rPr>
          <w:rFonts w:hint="eastAsia" w:ascii="宋体" w:hAnsi="宋体"/>
          <w:sz w:val="24"/>
          <w:lang w:eastAsia="zh-CN"/>
        </w:rPr>
        <w:t>的</w:t>
      </w:r>
      <w:r>
        <w:rPr>
          <w:rFonts w:hint="eastAsia" w:ascii="宋体" w:hAnsi="宋体"/>
          <w:sz w:val="24"/>
        </w:rPr>
        <w:t>租金作为违约金</w:t>
      </w:r>
      <w:r>
        <w:rPr>
          <w:rFonts w:hint="eastAsia" w:ascii="宋体" w:hAnsi="宋体"/>
          <w:sz w:val="24"/>
          <w:lang w:eastAsia="zh-CN"/>
        </w:rPr>
        <w:t>，</w:t>
      </w:r>
      <w:r>
        <w:rPr>
          <w:rFonts w:hint="eastAsia" w:ascii="宋体" w:hAnsi="宋体"/>
          <w:sz w:val="24"/>
        </w:rPr>
        <w:t>甲方在合同解除或终止之日起1个月内</w:t>
      </w:r>
      <w:r>
        <w:rPr>
          <w:rFonts w:hint="eastAsia" w:ascii="宋体" w:hAnsi="宋体"/>
          <w:sz w:val="24"/>
          <w:lang w:eastAsia="zh-CN"/>
        </w:rPr>
        <w:t>退回乙方</w:t>
      </w:r>
      <w:r>
        <w:rPr>
          <w:rFonts w:hint="eastAsia" w:ascii="宋体" w:hAnsi="宋体"/>
          <w:sz w:val="24"/>
        </w:rPr>
        <w:t>已支付但尚未发生的租金</w:t>
      </w:r>
      <w:r>
        <w:rPr>
          <w:rFonts w:hint="eastAsia" w:ascii="宋体" w:hAnsi="宋体"/>
          <w:sz w:val="24"/>
          <w:lang w:eastAsia="zh-CN"/>
        </w:rPr>
        <w:t>。</w:t>
      </w:r>
    </w:p>
    <w:p>
      <w:pPr>
        <w:spacing w:line="348" w:lineRule="auto"/>
        <w:ind w:firstLine="480" w:firstLineChars="200"/>
        <w:rPr>
          <w:rFonts w:ascii="宋体" w:hAnsi="宋体"/>
          <w:sz w:val="24"/>
        </w:rPr>
      </w:pPr>
      <w:r>
        <w:rPr>
          <w:rFonts w:hint="eastAsia" w:ascii="宋体" w:hAnsi="宋体"/>
          <w:sz w:val="24"/>
        </w:rPr>
        <w:t>5、乙方应合理使用其所承租的房屋及其附属设施。如因使用不当造成房屋及设施损坏的，乙方应立即负责修复或经济赔偿。</w:t>
      </w:r>
    </w:p>
    <w:p>
      <w:pPr>
        <w:spacing w:line="348" w:lineRule="auto"/>
        <w:ind w:firstLine="480" w:firstLineChars="200"/>
        <w:rPr>
          <w:rFonts w:ascii="宋体" w:hAnsi="宋体"/>
          <w:sz w:val="24"/>
        </w:rPr>
      </w:pPr>
      <w:r>
        <w:rPr>
          <w:rFonts w:hint="eastAsia" w:ascii="宋体" w:hAnsi="宋体"/>
          <w:sz w:val="24"/>
        </w:rPr>
        <w:t>6、未经甲方书面同意，乙方不得将租赁物转租、转借给第三方使用，否则甲方有权解除合同，并没收</w:t>
      </w:r>
      <w:r>
        <w:rPr>
          <w:rFonts w:hint="eastAsia" w:ascii="宋体" w:hAnsi="宋体"/>
          <w:sz w:val="24"/>
          <w:lang w:eastAsia="zh-CN"/>
        </w:rPr>
        <w:t>履约</w:t>
      </w:r>
      <w:r>
        <w:rPr>
          <w:rFonts w:hint="eastAsia" w:ascii="宋体" w:hAnsi="宋体"/>
          <w:sz w:val="24"/>
        </w:rPr>
        <w:t>保证金。</w:t>
      </w:r>
    </w:p>
    <w:p>
      <w:pPr>
        <w:spacing w:line="348" w:lineRule="auto"/>
        <w:ind w:firstLine="480" w:firstLineChars="200"/>
        <w:rPr>
          <w:rFonts w:ascii="宋体" w:hAnsi="宋体"/>
          <w:sz w:val="24"/>
        </w:rPr>
      </w:pPr>
      <w:r>
        <w:rPr>
          <w:rFonts w:hint="eastAsia" w:ascii="宋体" w:hAnsi="宋体"/>
          <w:sz w:val="24"/>
        </w:rPr>
        <w:t>7、乙方及其工作人员应遵守甲方及物业管理公司的管理制度。</w:t>
      </w:r>
    </w:p>
    <w:p>
      <w:pPr>
        <w:spacing w:line="348" w:lineRule="auto"/>
        <w:ind w:firstLine="480" w:firstLineChars="200"/>
        <w:rPr>
          <w:rFonts w:ascii="宋体" w:hAnsi="宋体"/>
          <w:sz w:val="24"/>
        </w:rPr>
      </w:pPr>
      <w:r>
        <w:rPr>
          <w:rFonts w:hint="eastAsia" w:ascii="宋体" w:hAnsi="宋体"/>
          <w:sz w:val="24"/>
        </w:rPr>
        <w:t>8、乙方作为大楼入驻企业，不得存在违法违规经营及涉黑涉恶行为，否则甲方有权解除合同，并没收</w:t>
      </w:r>
      <w:r>
        <w:rPr>
          <w:rFonts w:hint="eastAsia" w:ascii="宋体" w:hAnsi="宋体"/>
          <w:sz w:val="24"/>
          <w:lang w:eastAsia="zh-CN"/>
        </w:rPr>
        <w:t>履约</w:t>
      </w:r>
      <w:r>
        <w:rPr>
          <w:rFonts w:hint="eastAsia" w:ascii="宋体" w:hAnsi="宋体"/>
          <w:sz w:val="24"/>
        </w:rPr>
        <w:t>保证金。</w:t>
      </w:r>
    </w:p>
    <w:p>
      <w:pPr>
        <w:spacing w:line="348" w:lineRule="auto"/>
        <w:ind w:firstLine="480" w:firstLineChars="200"/>
        <w:rPr>
          <w:rFonts w:ascii="宋体" w:hAnsi="宋体"/>
          <w:sz w:val="24"/>
        </w:rPr>
      </w:pPr>
      <w:r>
        <w:rPr>
          <w:rFonts w:hint="eastAsia" w:ascii="宋体" w:hAnsi="宋体"/>
          <w:sz w:val="24"/>
        </w:rPr>
        <w:t>9、考虑大楼为甲方总部所在地，乙方作为大楼入驻企业，应积极维护甲方及入驻大楼其他相关单位的权益和声誉，若乙方在租赁期内发生恶性事件严重影响甲方权益和声誉的，甲方有权解除合同，并没收</w:t>
      </w:r>
      <w:r>
        <w:rPr>
          <w:rFonts w:hint="eastAsia" w:ascii="宋体" w:hAnsi="宋体"/>
          <w:sz w:val="24"/>
          <w:lang w:eastAsia="zh-CN"/>
        </w:rPr>
        <w:t>履约</w:t>
      </w:r>
      <w:r>
        <w:rPr>
          <w:rFonts w:hint="eastAsia" w:ascii="宋体" w:hAnsi="宋体"/>
          <w:sz w:val="24"/>
        </w:rPr>
        <w:t>保证金。</w:t>
      </w:r>
    </w:p>
    <w:p>
      <w:pPr>
        <w:spacing w:line="348" w:lineRule="auto"/>
        <w:ind w:left="480"/>
        <w:rPr>
          <w:rFonts w:ascii="宋体" w:hAnsi="宋体"/>
          <w:sz w:val="24"/>
        </w:rPr>
      </w:pPr>
      <w:r>
        <w:rPr>
          <w:rFonts w:hint="eastAsia" w:ascii="宋体" w:hAnsi="宋体"/>
          <w:sz w:val="24"/>
        </w:rPr>
        <w:t>10、法律规定和本合同约定的乙方其他权利义务及违约责任。</w:t>
      </w:r>
    </w:p>
    <w:p>
      <w:pPr>
        <w:spacing w:line="348" w:lineRule="auto"/>
        <w:ind w:firstLine="480" w:firstLineChars="200"/>
        <w:textAlignment w:val="baseline"/>
        <w:rPr>
          <w:rFonts w:ascii="宋体" w:hAnsi="宋体"/>
          <w:sz w:val="24"/>
        </w:rPr>
      </w:pPr>
      <w:r>
        <w:rPr>
          <w:rFonts w:hint="eastAsia" w:ascii="宋体" w:hAnsi="宋体"/>
          <w:sz w:val="24"/>
        </w:rPr>
        <w:t>11、乙方应遵守</w:t>
      </w:r>
      <w:r>
        <w:rPr>
          <w:rFonts w:ascii="宋体" w:hAnsi="宋体"/>
          <w:sz w:val="24"/>
        </w:rPr>
        <w:t>的</w:t>
      </w:r>
      <w:r>
        <w:rPr>
          <w:rFonts w:hint="eastAsia" w:ascii="宋体" w:hAnsi="宋体"/>
          <w:sz w:val="24"/>
        </w:rPr>
        <w:t>消防安全责任：</w:t>
      </w:r>
    </w:p>
    <w:p>
      <w:pPr>
        <w:numPr>
          <w:ilvl w:val="0"/>
          <w:numId w:val="2"/>
        </w:numPr>
        <w:spacing w:line="348" w:lineRule="auto"/>
        <w:ind w:left="0" w:firstLine="480"/>
        <w:textAlignment w:val="baseline"/>
        <w:rPr>
          <w:rFonts w:ascii="宋体" w:hAnsi="宋体"/>
          <w:sz w:val="24"/>
        </w:rPr>
      </w:pPr>
      <w:r>
        <w:rPr>
          <w:rFonts w:ascii="宋体" w:hAnsi="宋体"/>
          <w:sz w:val="24"/>
        </w:rPr>
        <w:t>乙方</w:t>
      </w:r>
      <w:r>
        <w:rPr>
          <w:rFonts w:hint="eastAsia" w:ascii="宋体" w:hAnsi="宋体"/>
          <w:sz w:val="24"/>
        </w:rPr>
        <w:t>应当遵守消防法律、法规和规章，履行房屋的</w:t>
      </w:r>
      <w:r>
        <w:rPr>
          <w:rFonts w:ascii="宋体" w:hAnsi="宋体"/>
          <w:sz w:val="24"/>
        </w:rPr>
        <w:t>消防安全</w:t>
      </w:r>
      <w:r>
        <w:rPr>
          <w:rFonts w:hint="eastAsia" w:ascii="宋体" w:hAnsi="宋体"/>
          <w:sz w:val="24"/>
        </w:rPr>
        <w:t>职责。</w:t>
      </w:r>
    </w:p>
    <w:p>
      <w:pPr>
        <w:numPr>
          <w:ilvl w:val="0"/>
          <w:numId w:val="2"/>
        </w:numPr>
        <w:spacing w:line="348" w:lineRule="auto"/>
        <w:ind w:left="0" w:firstLine="480"/>
        <w:textAlignment w:val="baseline"/>
        <w:rPr>
          <w:rFonts w:ascii="宋体" w:hAnsi="宋体"/>
          <w:sz w:val="24"/>
        </w:rPr>
      </w:pPr>
      <w:r>
        <w:rPr>
          <w:rFonts w:hint="eastAsia" w:ascii="宋体" w:hAnsi="宋体"/>
          <w:sz w:val="24"/>
        </w:rPr>
        <w:t>乙方应</w:t>
      </w:r>
      <w:r>
        <w:rPr>
          <w:rFonts w:ascii="宋体" w:hAnsi="宋体"/>
          <w:sz w:val="24"/>
        </w:rPr>
        <w:t>合理使用</w:t>
      </w:r>
      <w:r>
        <w:rPr>
          <w:rFonts w:hint="eastAsia" w:ascii="宋体" w:hAnsi="宋体"/>
          <w:sz w:val="24"/>
        </w:rPr>
        <w:t>和</w:t>
      </w:r>
      <w:r>
        <w:rPr>
          <w:rFonts w:ascii="宋体" w:hAnsi="宋体"/>
          <w:sz w:val="24"/>
        </w:rPr>
        <w:t>妥善</w:t>
      </w:r>
      <w:r>
        <w:rPr>
          <w:rFonts w:hint="eastAsia" w:ascii="宋体" w:hAnsi="宋体"/>
          <w:sz w:val="24"/>
        </w:rPr>
        <w:t>管理消防设施，不得</w:t>
      </w:r>
      <w:r>
        <w:rPr>
          <w:rFonts w:ascii="宋体" w:hAnsi="宋体"/>
          <w:sz w:val="24"/>
        </w:rPr>
        <w:t>拆改与消防安全有关的建筑设施或者建筑构件</w:t>
      </w:r>
      <w:r>
        <w:rPr>
          <w:rFonts w:hint="eastAsia" w:ascii="宋体" w:hAnsi="宋体"/>
          <w:sz w:val="24"/>
        </w:rPr>
        <w:t>，</w:t>
      </w:r>
      <w:r>
        <w:rPr>
          <w:rFonts w:ascii="宋体" w:hAnsi="宋体"/>
          <w:sz w:val="24"/>
        </w:rPr>
        <w:t>包括但不限于火灾自动报警系统、自动喷水灭火系统、消火栓系统、防烟排烟系统、疏散系统等。未经</w:t>
      </w:r>
      <w:r>
        <w:rPr>
          <w:rFonts w:hint="eastAsia" w:ascii="宋体" w:hAnsi="宋体"/>
          <w:sz w:val="24"/>
        </w:rPr>
        <w:t>住建等消防主管部门</w:t>
      </w:r>
      <w:r>
        <w:rPr>
          <w:rFonts w:ascii="宋体" w:hAnsi="宋体"/>
          <w:sz w:val="24"/>
        </w:rPr>
        <w:t>批准，不得擅自改变建筑物防火间距、耐火等级、防火分区、消防安全疏散条件、消防设施、燃油设施及实施其他增加建筑物火灾荷载或者影响火灾扑救的行为。</w:t>
      </w:r>
    </w:p>
    <w:p>
      <w:pPr>
        <w:numPr>
          <w:ilvl w:val="0"/>
          <w:numId w:val="2"/>
        </w:numPr>
        <w:spacing w:line="348" w:lineRule="auto"/>
        <w:ind w:left="0" w:firstLine="480"/>
        <w:textAlignment w:val="baseline"/>
        <w:rPr>
          <w:rFonts w:ascii="宋体" w:hAnsi="宋体"/>
          <w:sz w:val="24"/>
        </w:rPr>
      </w:pPr>
      <w:r>
        <w:rPr>
          <w:rFonts w:hint="eastAsia" w:ascii="宋体" w:hAnsi="宋体"/>
          <w:sz w:val="24"/>
        </w:rPr>
        <w:t>乙方进行房屋装修的，</w:t>
      </w:r>
      <w:r>
        <w:rPr>
          <w:rFonts w:ascii="宋体" w:hAnsi="宋体"/>
          <w:sz w:val="24"/>
        </w:rPr>
        <w:t>消防设计、施工必须符合消防技术标准</w:t>
      </w:r>
      <w:r>
        <w:rPr>
          <w:rFonts w:hint="eastAsia" w:ascii="宋体" w:hAnsi="宋体"/>
          <w:sz w:val="24"/>
        </w:rPr>
        <w:t>。装修设计应依法</w:t>
      </w:r>
      <w:r>
        <w:rPr>
          <w:rFonts w:ascii="宋体" w:hAnsi="宋体"/>
          <w:sz w:val="24"/>
        </w:rPr>
        <w:t>经</w:t>
      </w:r>
      <w:r>
        <w:rPr>
          <w:rFonts w:hint="eastAsia" w:ascii="宋体" w:hAnsi="宋体"/>
          <w:sz w:val="24"/>
        </w:rPr>
        <w:t>住建等消防主管部门审核或备案</w:t>
      </w:r>
      <w:r>
        <w:rPr>
          <w:rFonts w:ascii="宋体" w:hAnsi="宋体"/>
          <w:sz w:val="24"/>
        </w:rPr>
        <w:t>合格后</w:t>
      </w:r>
      <w:r>
        <w:rPr>
          <w:rFonts w:hint="eastAsia" w:ascii="宋体" w:hAnsi="宋体"/>
          <w:sz w:val="24"/>
        </w:rPr>
        <w:t>开</w:t>
      </w:r>
      <w:r>
        <w:rPr>
          <w:rFonts w:ascii="宋体" w:hAnsi="宋体"/>
          <w:sz w:val="24"/>
        </w:rPr>
        <w:t>工</w:t>
      </w:r>
      <w:r>
        <w:rPr>
          <w:rFonts w:hint="eastAsia" w:ascii="宋体" w:hAnsi="宋体"/>
          <w:sz w:val="24"/>
        </w:rPr>
        <w:t>，</w:t>
      </w:r>
      <w:r>
        <w:rPr>
          <w:rFonts w:ascii="宋体" w:hAnsi="宋体"/>
          <w:sz w:val="24"/>
        </w:rPr>
        <w:t>装修</w:t>
      </w:r>
      <w:r>
        <w:rPr>
          <w:rFonts w:hint="eastAsia" w:ascii="宋体" w:hAnsi="宋体"/>
          <w:sz w:val="24"/>
        </w:rPr>
        <w:t>完工</w:t>
      </w:r>
      <w:r>
        <w:rPr>
          <w:rFonts w:ascii="宋体" w:hAnsi="宋体"/>
          <w:sz w:val="24"/>
        </w:rPr>
        <w:t>后</w:t>
      </w:r>
      <w:r>
        <w:rPr>
          <w:rFonts w:hint="eastAsia" w:ascii="宋体" w:hAnsi="宋体"/>
          <w:sz w:val="24"/>
        </w:rPr>
        <w:t>应</w:t>
      </w:r>
      <w:r>
        <w:rPr>
          <w:rFonts w:ascii="宋体" w:hAnsi="宋体"/>
          <w:sz w:val="24"/>
        </w:rPr>
        <w:t>经</w:t>
      </w:r>
      <w:r>
        <w:rPr>
          <w:rFonts w:hint="eastAsia" w:ascii="宋体" w:hAnsi="宋体"/>
          <w:sz w:val="24"/>
        </w:rPr>
        <w:t>住建等消防主管部门</w:t>
      </w:r>
      <w:r>
        <w:rPr>
          <w:rFonts w:ascii="宋体" w:hAnsi="宋体"/>
          <w:sz w:val="24"/>
        </w:rPr>
        <w:t>验收</w:t>
      </w:r>
      <w:r>
        <w:rPr>
          <w:rFonts w:hint="eastAsia" w:ascii="宋体" w:hAnsi="宋体"/>
          <w:sz w:val="24"/>
        </w:rPr>
        <w:t>或备案合格</w:t>
      </w:r>
      <w:r>
        <w:rPr>
          <w:rFonts w:ascii="宋体" w:hAnsi="宋体"/>
          <w:sz w:val="24"/>
        </w:rPr>
        <w:t>后</w:t>
      </w:r>
      <w:r>
        <w:rPr>
          <w:rFonts w:hint="eastAsia" w:ascii="宋体" w:hAnsi="宋体"/>
          <w:sz w:val="24"/>
        </w:rPr>
        <w:t>使用。</w:t>
      </w:r>
    </w:p>
    <w:p>
      <w:pPr>
        <w:numPr>
          <w:ilvl w:val="0"/>
          <w:numId w:val="2"/>
        </w:numPr>
        <w:spacing w:line="348" w:lineRule="auto"/>
        <w:ind w:left="0" w:firstLine="480"/>
        <w:textAlignment w:val="baseline"/>
        <w:rPr>
          <w:rFonts w:ascii="宋体" w:hAnsi="宋体"/>
          <w:sz w:val="24"/>
        </w:rPr>
      </w:pPr>
      <w:r>
        <w:rPr>
          <w:rFonts w:hint="eastAsia" w:ascii="宋体" w:hAnsi="宋体"/>
          <w:sz w:val="24"/>
        </w:rPr>
        <w:t>乙方不得在楼宇的走道、楼梯、出口等公共区域堆放杂物及易燃易爆等物品，应保持消防通道畅通，若因乙方原因影响消防通道，造成楼宇及他人的人身财产损害的，由乙方承担全部经济及法律责任。</w:t>
      </w:r>
    </w:p>
    <w:p>
      <w:pPr>
        <w:numPr>
          <w:ilvl w:val="0"/>
          <w:numId w:val="2"/>
        </w:numPr>
        <w:spacing w:line="348" w:lineRule="auto"/>
        <w:ind w:left="0" w:firstLine="480"/>
        <w:textAlignment w:val="baseline"/>
        <w:rPr>
          <w:rFonts w:ascii="宋体" w:hAnsi="宋体"/>
          <w:sz w:val="24"/>
        </w:rPr>
      </w:pPr>
      <w:r>
        <w:rPr>
          <w:rFonts w:hint="eastAsia" w:ascii="宋体" w:hAnsi="宋体"/>
          <w:sz w:val="24"/>
        </w:rPr>
        <w:t>在</w:t>
      </w:r>
      <w:r>
        <w:rPr>
          <w:rFonts w:ascii="宋体" w:hAnsi="宋体"/>
          <w:sz w:val="24"/>
        </w:rPr>
        <w:t>装修工程竣工后，</w:t>
      </w:r>
      <w:r>
        <w:rPr>
          <w:rFonts w:hint="eastAsia" w:ascii="宋体" w:hAnsi="宋体"/>
          <w:sz w:val="24"/>
        </w:rPr>
        <w:t>乙方应</w:t>
      </w:r>
      <w:r>
        <w:rPr>
          <w:rFonts w:ascii="宋体" w:hAnsi="宋体"/>
          <w:sz w:val="24"/>
        </w:rPr>
        <w:t>依法办理消防验收手续。将竣工验收报告和消防机构出具的认可文件报</w:t>
      </w:r>
      <w:r>
        <w:rPr>
          <w:rFonts w:hint="eastAsia" w:ascii="宋体" w:hAnsi="宋体"/>
          <w:sz w:val="24"/>
        </w:rPr>
        <w:t>相关</w:t>
      </w:r>
      <w:r>
        <w:rPr>
          <w:rFonts w:ascii="宋体" w:hAnsi="宋体"/>
          <w:sz w:val="24"/>
        </w:rPr>
        <w:t>主管部门备案。</w:t>
      </w:r>
    </w:p>
    <w:p>
      <w:pPr>
        <w:numPr>
          <w:ilvl w:val="0"/>
          <w:numId w:val="2"/>
        </w:numPr>
        <w:spacing w:line="348" w:lineRule="auto"/>
        <w:ind w:left="0" w:firstLine="480"/>
        <w:textAlignment w:val="baseline"/>
        <w:rPr>
          <w:rFonts w:ascii="宋体" w:hAnsi="宋体"/>
          <w:sz w:val="24"/>
        </w:rPr>
      </w:pPr>
      <w:r>
        <w:rPr>
          <w:rFonts w:hint="eastAsia" w:ascii="宋体" w:hAnsi="宋体"/>
          <w:sz w:val="24"/>
        </w:rPr>
        <w:t>在装修工程验收后应将消防系统接入大楼的消防监控中心，并保证符合消防要求。</w:t>
      </w:r>
    </w:p>
    <w:p>
      <w:pPr>
        <w:numPr>
          <w:ilvl w:val="0"/>
          <w:numId w:val="2"/>
        </w:numPr>
        <w:spacing w:line="348" w:lineRule="auto"/>
        <w:ind w:left="0" w:firstLine="480"/>
        <w:textAlignment w:val="baseline"/>
        <w:rPr>
          <w:rFonts w:ascii="宋体" w:hAnsi="宋体"/>
          <w:sz w:val="24"/>
        </w:rPr>
      </w:pPr>
      <w:r>
        <w:rPr>
          <w:rFonts w:hint="eastAsia" w:ascii="宋体" w:hAnsi="宋体"/>
          <w:sz w:val="24"/>
        </w:rPr>
        <w:t>未</w:t>
      </w:r>
      <w:r>
        <w:rPr>
          <w:rFonts w:ascii="宋体" w:hAnsi="宋体"/>
          <w:sz w:val="24"/>
        </w:rPr>
        <w:t>依法</w:t>
      </w:r>
      <w:r>
        <w:rPr>
          <w:rFonts w:hint="eastAsia" w:ascii="宋体" w:hAnsi="宋体"/>
          <w:sz w:val="24"/>
        </w:rPr>
        <w:t>办理</w:t>
      </w:r>
      <w:r>
        <w:rPr>
          <w:rFonts w:ascii="宋体" w:hAnsi="宋体"/>
          <w:sz w:val="24"/>
        </w:rPr>
        <w:t>消防验收或者消防验收不合格，</w:t>
      </w:r>
      <w:r>
        <w:rPr>
          <w:rFonts w:hint="eastAsia" w:ascii="宋体" w:hAnsi="宋体"/>
          <w:sz w:val="24"/>
        </w:rPr>
        <w:t>或未依法办理消防备案或</w:t>
      </w:r>
      <w:r>
        <w:rPr>
          <w:rFonts w:ascii="宋体" w:hAnsi="宋体"/>
          <w:sz w:val="24"/>
        </w:rPr>
        <w:t>抽查不合格，</w:t>
      </w:r>
      <w:r>
        <w:rPr>
          <w:rFonts w:hint="eastAsia" w:ascii="宋体" w:hAnsi="宋体"/>
          <w:sz w:val="24"/>
        </w:rPr>
        <w:t>乙方擅自</w:t>
      </w:r>
      <w:r>
        <w:rPr>
          <w:rFonts w:ascii="宋体" w:hAnsi="宋体"/>
          <w:sz w:val="24"/>
        </w:rPr>
        <w:t>使用</w:t>
      </w:r>
      <w:r>
        <w:rPr>
          <w:rFonts w:hint="eastAsia" w:ascii="宋体" w:hAnsi="宋体"/>
          <w:sz w:val="24"/>
        </w:rPr>
        <w:t>的，甲方可计扣相当于一个月租金的违约金，并可单方解除合同，甲方因此解除本合同的，已收取的履约保证金不退还。</w:t>
      </w:r>
    </w:p>
    <w:p>
      <w:pPr>
        <w:spacing w:line="348" w:lineRule="auto"/>
        <w:ind w:left="0" w:firstLine="542" w:firstLineChars="225"/>
        <w:rPr>
          <w:rFonts w:hint="eastAsia" w:ascii="宋体" w:hAnsi="宋体"/>
          <w:b/>
          <w:sz w:val="24"/>
        </w:rPr>
      </w:pPr>
      <w:r>
        <w:rPr>
          <w:rFonts w:hint="eastAsia" w:ascii="宋体" w:hAnsi="宋体"/>
          <w:b/>
          <w:sz w:val="24"/>
        </w:rPr>
        <w:t>第七条  安全生产条款</w:t>
      </w:r>
    </w:p>
    <w:p>
      <w:pPr>
        <w:spacing w:line="348" w:lineRule="auto"/>
        <w:ind w:left="0" w:firstLine="540" w:firstLineChars="225"/>
        <w:rPr>
          <w:rFonts w:hint="eastAsia" w:ascii="宋体" w:hAnsi="宋体"/>
          <w:b w:val="0"/>
          <w:bCs/>
          <w:sz w:val="24"/>
        </w:rPr>
      </w:pPr>
      <w:r>
        <w:rPr>
          <w:rFonts w:hint="eastAsia" w:ascii="宋体" w:hAnsi="宋体"/>
          <w:b w:val="0"/>
          <w:bCs/>
          <w:sz w:val="24"/>
        </w:rPr>
        <w:t>（一）甲方应遵守国家及当地政府有关法律法规规定以及物业管理规约，应保证房屋的建筑结构和设备设施符合建筑、消防、治安、卫生、环保等方面的安全条件，不得危及人身和财产安全。</w:t>
      </w:r>
    </w:p>
    <w:p>
      <w:pPr>
        <w:spacing w:line="348" w:lineRule="auto"/>
        <w:ind w:firstLine="540" w:firstLineChars="225"/>
        <w:rPr>
          <w:rFonts w:hint="eastAsia" w:ascii="宋体" w:hAnsi="宋体"/>
          <w:b/>
          <w:sz w:val="24"/>
        </w:rPr>
      </w:pPr>
      <w:r>
        <w:rPr>
          <w:rFonts w:hint="eastAsia" w:ascii="宋体" w:hAnsi="宋体"/>
          <w:b w:val="0"/>
          <w:bCs/>
          <w:sz w:val="24"/>
        </w:rPr>
        <w:t>（二）乙方应遵守国家及当地政府有关法律法规规定以及物业管理规约，按照规定的房屋用途合理使用房屋。乙方承担租赁房屋内部安全生产、消防安全管理责任。</w:t>
      </w:r>
    </w:p>
    <w:p>
      <w:pPr>
        <w:spacing w:line="348" w:lineRule="auto"/>
        <w:ind w:firstLine="542" w:firstLineChars="225"/>
        <w:rPr>
          <w:rFonts w:ascii="宋体" w:hAnsi="宋体"/>
          <w:b/>
          <w:sz w:val="24"/>
        </w:rPr>
      </w:pPr>
      <w:r>
        <w:rPr>
          <w:rFonts w:hint="eastAsia" w:ascii="宋体" w:hAnsi="宋体"/>
          <w:b/>
          <w:sz w:val="24"/>
        </w:rPr>
        <w:t>第八条  合同的变更与终止</w:t>
      </w:r>
    </w:p>
    <w:p>
      <w:pPr>
        <w:spacing w:line="348" w:lineRule="auto"/>
        <w:ind w:firstLine="480" w:firstLineChars="200"/>
        <w:rPr>
          <w:rFonts w:ascii="宋体" w:hAnsi="宋体"/>
          <w:sz w:val="24"/>
        </w:rPr>
      </w:pPr>
      <w:r>
        <w:rPr>
          <w:rFonts w:hint="eastAsia" w:ascii="宋体" w:hAnsi="宋体"/>
          <w:sz w:val="24"/>
        </w:rPr>
        <w:t>（一）双方经协商一致，可以变更本合同条款，届时由双方签署书面补充协议。</w:t>
      </w:r>
    </w:p>
    <w:p>
      <w:pPr>
        <w:spacing w:line="348" w:lineRule="auto"/>
        <w:ind w:firstLine="480" w:firstLineChars="200"/>
        <w:rPr>
          <w:rFonts w:ascii="宋体" w:hAnsi="宋体"/>
          <w:sz w:val="24"/>
        </w:rPr>
      </w:pPr>
      <w:r>
        <w:rPr>
          <w:rFonts w:hint="eastAsia" w:ascii="宋体" w:hAnsi="宋体"/>
          <w:sz w:val="24"/>
        </w:rPr>
        <w:t>（二）有下列情形之一的，本合同终止：</w:t>
      </w:r>
    </w:p>
    <w:p>
      <w:pPr>
        <w:spacing w:line="348" w:lineRule="auto"/>
        <w:ind w:firstLine="480" w:firstLineChars="200"/>
        <w:rPr>
          <w:rFonts w:ascii="宋体" w:hAnsi="宋体"/>
          <w:sz w:val="24"/>
        </w:rPr>
      </w:pPr>
      <w:r>
        <w:rPr>
          <w:rFonts w:hint="eastAsia" w:ascii="宋体" w:hAnsi="宋体"/>
          <w:sz w:val="24"/>
        </w:rPr>
        <w:t>1、双方协商一致解除本合同；</w:t>
      </w:r>
    </w:p>
    <w:p>
      <w:pPr>
        <w:spacing w:line="348" w:lineRule="auto"/>
        <w:ind w:firstLine="480" w:firstLineChars="200"/>
        <w:rPr>
          <w:rFonts w:ascii="宋体" w:hAnsi="宋体"/>
          <w:sz w:val="24"/>
        </w:rPr>
      </w:pPr>
      <w:r>
        <w:rPr>
          <w:rFonts w:hint="eastAsia" w:ascii="宋体" w:hAnsi="宋体"/>
          <w:sz w:val="24"/>
        </w:rPr>
        <w:t>2、因不可抗力致使本合同无法继续履行或继续履行将使一方遭受重大损失的。该不可抗力系指双方不能预见、不能避免且不能克服的情况，包括但不限于战争、自然灾害、政府行为、国家政策、银行业监督管理机构决定或规定；双方根据上述情形解除本合同的，双方互不承担违约责任。</w:t>
      </w:r>
    </w:p>
    <w:p>
      <w:pPr>
        <w:spacing w:line="348" w:lineRule="auto"/>
        <w:ind w:firstLine="480" w:firstLineChars="200"/>
        <w:rPr>
          <w:rFonts w:ascii="宋体" w:hAnsi="宋体"/>
          <w:sz w:val="24"/>
        </w:rPr>
      </w:pPr>
      <w:r>
        <w:rPr>
          <w:rFonts w:hint="eastAsia" w:ascii="宋体" w:hAnsi="宋体"/>
          <w:sz w:val="24"/>
        </w:rPr>
        <w:t>3、其他依法或依据本合同约定可以变更或终止本合同的情形。</w:t>
      </w:r>
    </w:p>
    <w:p>
      <w:pPr>
        <w:spacing w:line="348" w:lineRule="auto"/>
        <w:ind w:firstLine="542" w:firstLineChars="225"/>
        <w:rPr>
          <w:rFonts w:ascii="宋体" w:hAnsi="宋体"/>
          <w:b/>
          <w:sz w:val="24"/>
        </w:rPr>
      </w:pPr>
      <w:r>
        <w:rPr>
          <w:rFonts w:hint="eastAsia" w:ascii="宋体" w:hAnsi="宋体"/>
          <w:b/>
          <w:sz w:val="24"/>
        </w:rPr>
        <w:t>第九条  甲、乙方可以单方解除本合同的情形</w:t>
      </w:r>
    </w:p>
    <w:p>
      <w:pPr>
        <w:spacing w:line="348" w:lineRule="auto"/>
        <w:ind w:firstLine="480" w:firstLineChars="200"/>
        <w:rPr>
          <w:rFonts w:ascii="宋体" w:hAnsi="宋体"/>
          <w:sz w:val="24"/>
        </w:rPr>
      </w:pPr>
      <w:r>
        <w:rPr>
          <w:rFonts w:hint="eastAsia" w:ascii="宋体" w:hAnsi="宋体"/>
          <w:sz w:val="24"/>
        </w:rPr>
        <w:t>（一）甲方或乙方任意一方严重违约的，守约方可以单方解除本合同。</w:t>
      </w:r>
    </w:p>
    <w:p>
      <w:pPr>
        <w:spacing w:line="348" w:lineRule="auto"/>
        <w:ind w:firstLine="480" w:firstLineChars="200"/>
        <w:rPr>
          <w:rFonts w:ascii="宋体" w:hAnsi="宋体"/>
          <w:sz w:val="24"/>
        </w:rPr>
      </w:pPr>
      <w:r>
        <w:rPr>
          <w:rFonts w:hint="eastAsia" w:ascii="宋体" w:hAnsi="宋体"/>
          <w:sz w:val="24"/>
        </w:rPr>
        <w:t>（二）在履行期限届满之前，任何一方明确表示或者以自己的行为表明不履行本合同约定的主要义务。</w:t>
      </w:r>
    </w:p>
    <w:p>
      <w:pPr>
        <w:spacing w:line="348" w:lineRule="auto"/>
        <w:ind w:firstLine="480" w:firstLineChars="200"/>
        <w:rPr>
          <w:rFonts w:ascii="宋体" w:hAnsi="宋体"/>
          <w:sz w:val="24"/>
        </w:rPr>
      </w:pPr>
      <w:r>
        <w:rPr>
          <w:rFonts w:hint="eastAsia" w:ascii="宋体" w:hAnsi="宋体"/>
          <w:sz w:val="24"/>
        </w:rPr>
        <w:t>（三）任何一方迟延履行本合同约定的主要义务，经催告后在合理期限内仍未履行。</w:t>
      </w:r>
    </w:p>
    <w:p>
      <w:pPr>
        <w:spacing w:line="348" w:lineRule="auto"/>
        <w:ind w:firstLine="480" w:firstLineChars="200"/>
        <w:rPr>
          <w:rFonts w:ascii="宋体" w:hAnsi="宋体"/>
          <w:sz w:val="24"/>
        </w:rPr>
      </w:pPr>
      <w:r>
        <w:rPr>
          <w:rFonts w:hint="eastAsia" w:ascii="宋体" w:hAnsi="宋体"/>
          <w:sz w:val="24"/>
        </w:rPr>
        <w:t>（四）任何一方迟延履行本合同约定的主要义务或者有其他违约行为致使不能实现合同目的。</w:t>
      </w:r>
    </w:p>
    <w:p>
      <w:pPr>
        <w:spacing w:line="348" w:lineRule="auto"/>
        <w:ind w:firstLine="480" w:firstLineChars="200"/>
        <w:rPr>
          <w:rFonts w:ascii="宋体" w:hAnsi="宋体"/>
          <w:sz w:val="24"/>
        </w:rPr>
      </w:pPr>
      <w:r>
        <w:rPr>
          <w:rFonts w:hint="eastAsia" w:ascii="宋体" w:hAnsi="宋体"/>
          <w:sz w:val="24"/>
        </w:rPr>
        <w:t>（五）依法或依照本合同约定，一方可以单方解除本合同的其他情形。</w:t>
      </w:r>
    </w:p>
    <w:p>
      <w:pPr>
        <w:spacing w:line="348" w:lineRule="auto"/>
        <w:ind w:firstLine="480" w:firstLineChars="200"/>
        <w:rPr>
          <w:rFonts w:ascii="宋体" w:hAnsi="宋体"/>
          <w:sz w:val="24"/>
        </w:rPr>
      </w:pPr>
      <w:r>
        <w:rPr>
          <w:rFonts w:ascii="宋体" w:hAnsi="宋体"/>
          <w:sz w:val="24"/>
        </w:rPr>
        <w:t>除本合同另有约定外</w:t>
      </w:r>
      <w:r>
        <w:rPr>
          <w:rFonts w:hint="eastAsia" w:ascii="宋体" w:hAnsi="宋体"/>
          <w:sz w:val="24"/>
        </w:rPr>
        <w:t>，</w:t>
      </w:r>
      <w:r>
        <w:rPr>
          <w:rFonts w:ascii="宋体" w:hAnsi="宋体"/>
          <w:sz w:val="24"/>
        </w:rPr>
        <w:t>发生上述事由导致合同解除的</w:t>
      </w:r>
      <w:r>
        <w:rPr>
          <w:rFonts w:hint="eastAsia" w:ascii="宋体" w:hAnsi="宋体"/>
          <w:sz w:val="24"/>
        </w:rPr>
        <w:t>，</w:t>
      </w:r>
      <w:r>
        <w:rPr>
          <w:rFonts w:ascii="宋体" w:hAnsi="宋体"/>
          <w:sz w:val="24"/>
        </w:rPr>
        <w:t>享有解除权的一方有权要求另一方承担</w:t>
      </w:r>
      <w:r>
        <w:rPr>
          <w:rFonts w:hint="eastAsia" w:ascii="宋体" w:hAnsi="宋体"/>
          <w:sz w:val="24"/>
          <w:lang w:val="en-US" w:eastAsia="zh-CN"/>
        </w:rPr>
        <w:t>1</w:t>
      </w:r>
      <w:r>
        <w:rPr>
          <w:rFonts w:hint="eastAsia" w:ascii="宋体" w:hAnsi="宋体"/>
          <w:sz w:val="24"/>
        </w:rPr>
        <w:t>个月房租作为违约金。</w:t>
      </w:r>
    </w:p>
    <w:p>
      <w:pPr>
        <w:spacing w:line="348" w:lineRule="auto"/>
        <w:ind w:firstLine="482" w:firstLineChars="200"/>
        <w:rPr>
          <w:rFonts w:ascii="宋体" w:hAnsi="宋体"/>
          <w:b/>
          <w:sz w:val="24"/>
        </w:rPr>
      </w:pPr>
      <w:r>
        <w:rPr>
          <w:rFonts w:hint="eastAsia" w:ascii="宋体" w:hAnsi="宋体"/>
          <w:b/>
          <w:sz w:val="24"/>
        </w:rPr>
        <w:t>第十条 租赁物返还</w:t>
      </w:r>
    </w:p>
    <w:p>
      <w:pPr>
        <w:spacing w:line="348" w:lineRule="auto"/>
        <w:ind w:firstLine="480" w:firstLineChars="200"/>
        <w:rPr>
          <w:rFonts w:hint="eastAsia" w:ascii="宋体" w:hAnsi="宋体"/>
          <w:sz w:val="24"/>
          <w:lang w:eastAsia="zh-CN"/>
        </w:rPr>
      </w:pPr>
      <w:r>
        <w:rPr>
          <w:rFonts w:hint="eastAsia" w:ascii="宋体" w:hAnsi="宋体"/>
          <w:sz w:val="24"/>
        </w:rPr>
        <w:t>（一）</w:t>
      </w:r>
      <w:r>
        <w:rPr>
          <w:rFonts w:hint="eastAsia" w:ascii="宋体" w:hAnsi="宋体"/>
          <w:sz w:val="24"/>
          <w:lang w:eastAsia="zh-CN"/>
        </w:rPr>
        <w:t>合同解除或终止（不论基于何种原因，包括但不限于提前解除、终止或租赁期限届满），乙方应当于本合同解除或终止之日起</w:t>
      </w:r>
      <w:r>
        <w:rPr>
          <w:rFonts w:hint="eastAsia" w:ascii="宋体" w:hAnsi="宋体"/>
          <w:sz w:val="24"/>
        </w:rPr>
        <w:t>5个工作日内返还租赁物</w:t>
      </w:r>
      <w:r>
        <w:rPr>
          <w:rFonts w:hint="eastAsia" w:ascii="宋体" w:hAnsi="宋体"/>
          <w:sz w:val="24"/>
          <w:lang w:eastAsia="zh-CN"/>
        </w:rPr>
        <w:t>，同时应向甲方支付占用费，日占用费标准为本合同解除或终止之年日租金数额。</w:t>
      </w:r>
    </w:p>
    <w:p>
      <w:pPr>
        <w:spacing w:line="348" w:lineRule="auto"/>
        <w:ind w:firstLine="480" w:firstLineChars="200"/>
        <w:rPr>
          <w:rFonts w:ascii="宋体" w:hAnsi="宋体"/>
          <w:sz w:val="24"/>
        </w:rPr>
      </w:pPr>
      <w:r>
        <w:rPr>
          <w:rFonts w:hint="eastAsia" w:ascii="宋体" w:hAnsi="宋体"/>
          <w:sz w:val="24"/>
        </w:rPr>
        <w:t>（二）乙方须缴清撤场之日前已发生的租金、车位费、水电费等应付款项，并于撤场之日将租赁物按撤场时装修现状退还甲方，乙方撤场时不得破坏装修。</w:t>
      </w:r>
      <w:r>
        <w:rPr>
          <w:rFonts w:ascii="宋体" w:hAnsi="宋体"/>
          <w:sz w:val="24"/>
        </w:rPr>
        <w:t>若</w:t>
      </w:r>
      <w:r>
        <w:rPr>
          <w:rFonts w:hint="eastAsia" w:ascii="宋体" w:hAnsi="宋体"/>
          <w:sz w:val="24"/>
        </w:rPr>
        <w:t>乙方撤场时装修破损严重，则由乙方补偿甲方相当于退租时1个月租金的补偿金</w:t>
      </w:r>
      <w:r>
        <w:rPr>
          <w:rFonts w:ascii="宋体" w:hAnsi="宋体"/>
          <w:sz w:val="24"/>
        </w:rPr>
        <w:t>，由甲方组织租赁物还原</w:t>
      </w:r>
      <w:r>
        <w:rPr>
          <w:rFonts w:hint="eastAsia" w:ascii="宋体" w:hAnsi="宋体"/>
          <w:sz w:val="24"/>
        </w:rPr>
        <w:t>。</w:t>
      </w:r>
    </w:p>
    <w:p>
      <w:pPr>
        <w:spacing w:line="348" w:lineRule="auto"/>
        <w:ind w:firstLine="480" w:firstLineChars="200"/>
        <w:rPr>
          <w:rFonts w:ascii="宋体" w:hAnsi="宋体"/>
          <w:sz w:val="24"/>
          <w:u w:val="single"/>
        </w:rPr>
      </w:pPr>
      <w:r>
        <w:rPr>
          <w:rFonts w:hint="eastAsia" w:ascii="宋体" w:hAnsi="宋体" w:cs="宋体"/>
          <w:sz w:val="24"/>
        </w:rPr>
        <w:t>（三）因乙方原因导致乙方未在退还期内撤离并返还租赁场所，或未经甲方的书面同意继续占用租赁场所的，其占用不能视为合同续期或合同续订。自退还期届满次日起，乙方需根据实际占用的天数按退还时年度日租金两倍的标准向甲方支付占用费。</w:t>
      </w:r>
    </w:p>
    <w:p>
      <w:pPr>
        <w:spacing w:line="348" w:lineRule="auto"/>
        <w:ind w:firstLine="542" w:firstLineChars="225"/>
        <w:rPr>
          <w:rFonts w:ascii="宋体" w:hAnsi="宋体"/>
          <w:sz w:val="24"/>
        </w:rPr>
      </w:pPr>
      <w:r>
        <w:rPr>
          <w:rFonts w:hint="eastAsia" w:ascii="宋体" w:hAnsi="宋体"/>
          <w:b/>
          <w:sz w:val="24"/>
        </w:rPr>
        <w:t>第十一条  本合同约定的不同违约行为涉及的各项违约金可以累积计算。</w:t>
      </w:r>
    </w:p>
    <w:p>
      <w:pPr>
        <w:spacing w:line="348" w:lineRule="auto"/>
        <w:ind w:firstLine="542" w:firstLineChars="225"/>
        <w:rPr>
          <w:rFonts w:ascii="宋体" w:hAnsi="宋体"/>
          <w:b/>
          <w:sz w:val="24"/>
        </w:rPr>
      </w:pPr>
      <w:r>
        <w:rPr>
          <w:rFonts w:hint="eastAsia" w:ascii="宋体" w:hAnsi="宋体"/>
          <w:b/>
          <w:sz w:val="24"/>
        </w:rPr>
        <w:t xml:space="preserve">第十二条 就租赁期限届满，租赁期限是否顺延，双方同意按照以下第   </w:t>
      </w:r>
      <w:r>
        <w:rPr>
          <w:rFonts w:hint="eastAsia" w:ascii="宋体" w:hAnsi="宋体"/>
          <w:b/>
          <w:sz w:val="24"/>
          <w:u w:val="single"/>
        </w:rPr>
        <w:t>（二）</w:t>
      </w:r>
      <w:r>
        <w:rPr>
          <w:rFonts w:hint="eastAsia" w:ascii="宋体" w:hAnsi="宋体"/>
          <w:b/>
          <w:sz w:val="24"/>
        </w:rPr>
        <w:t>种方式执行：</w:t>
      </w:r>
    </w:p>
    <w:p>
      <w:pPr>
        <w:spacing w:line="348" w:lineRule="auto"/>
        <w:ind w:firstLine="480" w:firstLineChars="200"/>
        <w:rPr>
          <w:rFonts w:ascii="宋体" w:hAnsi="宋体"/>
          <w:sz w:val="24"/>
        </w:rPr>
      </w:pPr>
      <w:r>
        <w:rPr>
          <w:rFonts w:hint="eastAsia" w:ascii="宋体" w:hAnsi="宋体"/>
          <w:sz w:val="24"/>
        </w:rPr>
        <w:t>（一）租赁期限届满前</w:t>
      </w:r>
      <w:r>
        <w:rPr>
          <w:rFonts w:ascii="宋体" w:hAnsi="宋体"/>
          <w:sz w:val="24"/>
          <w:u w:val="single"/>
        </w:rPr>
        <w:t>/</w:t>
      </w:r>
      <w:r>
        <w:rPr>
          <w:rFonts w:hint="eastAsia" w:ascii="宋体" w:hAnsi="宋体"/>
          <w:sz w:val="24"/>
        </w:rPr>
        <w:t>个月，甲、乙双方均未就续租提出异议的，自租赁期届满之日起顺延，顺延期限与本合同约定租赁期限相等，顺延次数不限，顺延期间双方按照本合同的约定享有权利承担义务，双方另有约定的除外。</w:t>
      </w:r>
    </w:p>
    <w:p>
      <w:pPr>
        <w:spacing w:line="348" w:lineRule="auto"/>
        <w:ind w:firstLine="480" w:firstLineChars="200"/>
        <w:rPr>
          <w:rFonts w:ascii="宋体" w:hAnsi="宋体"/>
          <w:sz w:val="24"/>
        </w:rPr>
      </w:pPr>
      <w:r>
        <w:rPr>
          <w:rFonts w:hint="eastAsia" w:ascii="宋体" w:hAnsi="宋体"/>
          <w:sz w:val="24"/>
        </w:rPr>
        <w:t>（二）除本合同另有约定外，租赁期限届满后租期不予顺延，乙方继续承租的，由双方另行协商具体租赁事宜并签订新租赁合同。</w:t>
      </w:r>
    </w:p>
    <w:p>
      <w:pPr>
        <w:spacing w:line="348" w:lineRule="auto"/>
        <w:ind w:firstLine="542" w:firstLineChars="225"/>
        <w:rPr>
          <w:rFonts w:ascii="宋体" w:hAnsi="宋体"/>
          <w:b/>
          <w:sz w:val="24"/>
        </w:rPr>
      </w:pPr>
      <w:r>
        <w:rPr>
          <w:rFonts w:hint="eastAsia" w:ascii="宋体" w:hAnsi="宋体"/>
          <w:b/>
          <w:sz w:val="24"/>
        </w:rPr>
        <w:t>第十三条　通知条款</w:t>
      </w:r>
    </w:p>
    <w:p>
      <w:pPr>
        <w:spacing w:line="348" w:lineRule="auto"/>
        <w:ind w:firstLine="480" w:firstLineChars="200"/>
        <w:rPr>
          <w:rFonts w:ascii="宋体" w:hAnsi="宋体"/>
          <w:sz w:val="24"/>
        </w:rPr>
      </w:pPr>
      <w:r>
        <w:rPr>
          <w:rFonts w:hint="eastAsia" w:ascii="宋体" w:hAnsi="宋体"/>
          <w:sz w:val="24"/>
        </w:rPr>
        <w:t>（一）甲、乙双方就本合同给对方的通知，可以按本合同所记载的住所、联系人等，以书面形式（包括但不限于</w:t>
      </w:r>
      <w:r>
        <w:rPr>
          <w:rFonts w:hint="eastAsia" w:ascii="宋体" w:hAnsi="宋体"/>
          <w:color w:val="000000" w:themeColor="text1"/>
          <w:sz w:val="24"/>
          <w14:textFill>
            <w14:solidFill>
              <w14:schemeClr w14:val="tx1"/>
            </w14:solidFill>
          </w14:textFill>
        </w:rPr>
        <w:t>传真、信函</w:t>
      </w:r>
      <w:r>
        <w:rPr>
          <w:rFonts w:hint="eastAsia" w:ascii="宋体" w:hAnsi="宋体"/>
          <w:sz w:val="24"/>
        </w:rPr>
        <w:t>等书面文件）送达对方。若为传真，传真到达对方即为送达，若为信函，寄出之日起第三日即视为送达。</w:t>
      </w:r>
    </w:p>
    <w:p>
      <w:pPr>
        <w:spacing w:line="348" w:lineRule="auto"/>
        <w:ind w:firstLine="480" w:firstLineChars="200"/>
        <w:rPr>
          <w:rFonts w:ascii="宋体" w:hAnsi="宋体"/>
          <w:sz w:val="24"/>
        </w:rPr>
      </w:pPr>
      <w:r>
        <w:rPr>
          <w:rFonts w:hint="eastAsia" w:ascii="宋体" w:hAnsi="宋体"/>
          <w:sz w:val="24"/>
        </w:rPr>
        <w:t>（二）本合同履行过程中变更本合同所记载的住所、电话等，变更一方应当及时通知其他方。</w:t>
      </w:r>
    </w:p>
    <w:p>
      <w:pPr>
        <w:spacing w:line="348" w:lineRule="auto"/>
        <w:ind w:firstLine="482" w:firstLineChars="200"/>
        <w:rPr>
          <w:rFonts w:ascii="宋体" w:hAnsi="宋体"/>
          <w:sz w:val="24"/>
        </w:rPr>
      </w:pPr>
      <w:r>
        <w:rPr>
          <w:rFonts w:hint="eastAsia" w:ascii="宋体" w:hAnsi="宋体"/>
          <w:b/>
          <w:sz w:val="24"/>
        </w:rPr>
        <w:t>第十四条</w:t>
      </w:r>
      <w:r>
        <w:rPr>
          <w:rFonts w:hint="eastAsia" w:ascii="宋体" w:hAnsi="宋体"/>
          <w:sz w:val="24"/>
        </w:rPr>
        <w:t xml:space="preserve"> 本合同适用中华人民共和国法律（不含港澳台地区法律）。本合同未作约定的事宜，由双方另行协商签订补充合同或者按照《中华人民共和国</w:t>
      </w:r>
      <w:r>
        <w:rPr>
          <w:rFonts w:hint="eastAsia" w:ascii="宋体" w:hAnsi="宋体"/>
          <w:sz w:val="24"/>
          <w:lang w:eastAsia="zh-CN"/>
        </w:rPr>
        <w:t>民法典</w:t>
      </w:r>
      <w:r>
        <w:rPr>
          <w:rFonts w:hint="eastAsia" w:ascii="宋体" w:hAnsi="宋体"/>
          <w:sz w:val="24"/>
        </w:rPr>
        <w:t>》的规定执行。本合同履行过程中若发生争议，由甲乙双方协商解决。协商不成的，双方同意按照以下第</w:t>
      </w:r>
      <w:r>
        <w:rPr>
          <w:rFonts w:hint="eastAsia" w:ascii="宋体" w:hAnsi="宋体"/>
          <w:sz w:val="24"/>
          <w:u w:val="single"/>
        </w:rPr>
        <w:t xml:space="preserve"> 1 </w:t>
      </w:r>
      <w:r>
        <w:rPr>
          <w:rFonts w:hint="eastAsia" w:ascii="宋体" w:hAnsi="宋体"/>
          <w:sz w:val="24"/>
        </w:rPr>
        <w:t>种方式解决争议：</w:t>
      </w:r>
    </w:p>
    <w:p>
      <w:pPr>
        <w:spacing w:line="348" w:lineRule="auto"/>
        <w:ind w:firstLine="480" w:firstLineChars="200"/>
        <w:rPr>
          <w:rFonts w:ascii="宋体" w:hAnsi="宋体"/>
          <w:sz w:val="24"/>
        </w:rPr>
      </w:pPr>
      <w:r>
        <w:rPr>
          <w:rFonts w:hint="eastAsia" w:ascii="宋体" w:hAnsi="宋体"/>
          <w:sz w:val="24"/>
        </w:rPr>
        <w:t>（一）任何一方均应向租赁物所在地有管辖权的人民法院起诉。</w:t>
      </w:r>
    </w:p>
    <w:p>
      <w:pPr>
        <w:spacing w:line="348" w:lineRule="auto"/>
        <w:ind w:firstLine="480" w:firstLineChars="200"/>
        <w:rPr>
          <w:rFonts w:ascii="宋体" w:hAnsi="宋体"/>
          <w:sz w:val="24"/>
        </w:rPr>
      </w:pPr>
      <w:r>
        <w:rPr>
          <w:rFonts w:hint="eastAsia" w:ascii="宋体" w:hAnsi="宋体"/>
          <w:sz w:val="24"/>
        </w:rPr>
        <w:t>（二）向</w:t>
      </w:r>
      <w:r>
        <w:rPr>
          <w:rFonts w:ascii="宋体" w:hAnsi="宋体"/>
          <w:sz w:val="24"/>
          <w:u w:val="single"/>
        </w:rPr>
        <w:t>/</w:t>
      </w:r>
      <w:r>
        <w:rPr>
          <w:rFonts w:hint="eastAsia" w:ascii="宋体" w:hAnsi="宋体"/>
          <w:sz w:val="24"/>
        </w:rPr>
        <w:t>仲裁委员会申请仲裁。</w:t>
      </w:r>
    </w:p>
    <w:p>
      <w:pPr>
        <w:spacing w:line="348" w:lineRule="auto"/>
        <w:ind w:firstLine="542" w:firstLineChars="225"/>
        <w:rPr>
          <w:rFonts w:hint="eastAsia" w:ascii="宋体" w:hAnsi="宋体"/>
          <w:b/>
          <w:bCs/>
          <w:sz w:val="24"/>
          <w:lang w:val="en-US" w:eastAsia="zh-CN"/>
        </w:rPr>
      </w:pPr>
      <w:r>
        <w:rPr>
          <w:rFonts w:hint="eastAsia" w:ascii="宋体" w:hAnsi="宋体"/>
          <w:b/>
          <w:bCs/>
          <w:sz w:val="24"/>
          <w:lang w:eastAsia="zh-CN"/>
        </w:rPr>
        <w:t>第十五条</w:t>
      </w:r>
      <w:r>
        <w:rPr>
          <w:rFonts w:hint="eastAsia" w:ascii="宋体" w:hAnsi="宋体"/>
          <w:b/>
          <w:bCs/>
          <w:sz w:val="24"/>
          <w:lang w:val="en-US" w:eastAsia="zh-CN"/>
        </w:rPr>
        <w:t xml:space="preserve"> 附件</w:t>
      </w:r>
    </w:p>
    <w:p>
      <w:pPr>
        <w:spacing w:line="348" w:lineRule="auto"/>
        <w:ind w:firstLine="482" w:firstLineChars="0"/>
        <w:rPr>
          <w:rFonts w:ascii="宋体" w:hAnsi="宋体"/>
          <w:sz w:val="24"/>
        </w:rPr>
      </w:pPr>
      <w:r>
        <w:rPr>
          <w:rFonts w:hint="eastAsia" w:ascii="宋体" w:hAnsi="宋体"/>
          <w:bCs/>
          <w:sz w:val="24"/>
        </w:rPr>
        <w:t>本合同的附件是本合同不可分割的组成部分，与本合同主文具有同等法律效力。</w:t>
      </w:r>
    </w:p>
    <w:p>
      <w:pPr>
        <w:spacing w:line="348" w:lineRule="auto"/>
        <w:ind w:firstLine="542" w:firstLineChars="225"/>
        <w:rPr>
          <w:rFonts w:hint="eastAsia" w:ascii="宋体" w:hAnsi="宋体" w:eastAsia="宋体"/>
          <w:sz w:val="24"/>
          <w:lang w:eastAsia="zh-CN"/>
        </w:rPr>
      </w:pPr>
      <w:r>
        <w:rPr>
          <w:rFonts w:hint="eastAsia" w:ascii="宋体" w:hAnsi="宋体"/>
          <w:b/>
          <w:sz w:val="24"/>
        </w:rPr>
        <w:t>第十</w:t>
      </w:r>
      <w:r>
        <w:rPr>
          <w:rFonts w:hint="eastAsia" w:ascii="宋体" w:hAnsi="宋体"/>
          <w:b/>
          <w:sz w:val="24"/>
          <w:lang w:eastAsia="zh-CN"/>
        </w:rPr>
        <w:t>六</w:t>
      </w:r>
      <w:r>
        <w:rPr>
          <w:rFonts w:hint="eastAsia" w:ascii="宋体" w:hAnsi="宋体"/>
          <w:b/>
          <w:sz w:val="24"/>
        </w:rPr>
        <w:t>条</w:t>
      </w:r>
      <w:r>
        <w:rPr>
          <w:rFonts w:hint="eastAsia" w:ascii="宋体" w:hAnsi="宋体"/>
          <w:sz w:val="24"/>
        </w:rPr>
        <w:t xml:space="preserve">  </w:t>
      </w:r>
      <w:r>
        <w:rPr>
          <w:rFonts w:hint="eastAsia" w:ascii="宋体" w:hAnsi="宋体"/>
          <w:b/>
          <w:bCs/>
          <w:sz w:val="24"/>
          <w:lang w:eastAsia="zh-CN"/>
        </w:rPr>
        <w:t>附则</w:t>
      </w:r>
    </w:p>
    <w:p>
      <w:pPr>
        <w:spacing w:line="348" w:lineRule="auto"/>
        <w:ind w:firstLine="540" w:firstLineChars="225"/>
        <w:rPr>
          <w:rFonts w:hint="eastAsia" w:ascii="宋体" w:hAnsi="宋体"/>
          <w:sz w:val="24"/>
        </w:rPr>
      </w:pPr>
      <w:r>
        <w:rPr>
          <w:rFonts w:hint="eastAsia" w:ascii="宋体" w:hAnsi="宋体"/>
          <w:sz w:val="24"/>
        </w:rPr>
        <w:t>本合同自甲乙双方加盖公章或合同专用章之日起生效。本合同（及附件）一式</w:t>
      </w:r>
      <w:r>
        <w:rPr>
          <w:rFonts w:hint="eastAsia" w:ascii="宋体" w:hAnsi="宋体"/>
          <w:sz w:val="24"/>
          <w:u w:val="single"/>
        </w:rPr>
        <w:t>肆</w:t>
      </w:r>
      <w:r>
        <w:rPr>
          <w:rFonts w:hint="eastAsia" w:ascii="宋体" w:hAnsi="宋体"/>
          <w:sz w:val="24"/>
        </w:rPr>
        <w:t>份，甲方乙方</w:t>
      </w:r>
      <w:r>
        <w:rPr>
          <w:rFonts w:hint="eastAsia" w:ascii="宋体" w:hAnsi="宋体"/>
          <w:sz w:val="24"/>
          <w:lang w:eastAsia="zh-CN"/>
        </w:rPr>
        <w:t>双方各</w:t>
      </w:r>
      <w:r>
        <w:rPr>
          <w:rFonts w:hint="eastAsia" w:ascii="宋体" w:hAnsi="宋体"/>
          <w:sz w:val="24"/>
        </w:rPr>
        <w:t>执</w:t>
      </w:r>
      <w:r>
        <w:rPr>
          <w:rFonts w:hint="eastAsia" w:ascii="宋体" w:hAnsi="宋体"/>
          <w:sz w:val="24"/>
          <w:u w:val="single"/>
        </w:rPr>
        <w:t>贰</w:t>
      </w:r>
      <w:r>
        <w:rPr>
          <w:rFonts w:hint="eastAsia" w:ascii="宋体" w:hAnsi="宋体"/>
          <w:sz w:val="24"/>
        </w:rPr>
        <w:t>份，</w:t>
      </w:r>
      <w:r>
        <w:rPr>
          <w:rFonts w:hint="eastAsia" w:ascii="宋体" w:hAnsi="宋体"/>
          <w:sz w:val="24"/>
          <w:lang w:eastAsia="zh-CN"/>
        </w:rPr>
        <w:t>每份均</w:t>
      </w:r>
      <w:r>
        <w:rPr>
          <w:rFonts w:hint="eastAsia" w:ascii="宋体" w:hAnsi="宋体"/>
          <w:sz w:val="24"/>
        </w:rPr>
        <w:t>具有同等法律效力。</w:t>
      </w:r>
    </w:p>
    <w:p>
      <w:pPr>
        <w:spacing w:line="348" w:lineRule="auto"/>
        <w:ind w:firstLine="540" w:firstLineChars="225"/>
        <w:rPr>
          <w:rFonts w:hint="eastAsia" w:ascii="宋体" w:hAnsi="宋体"/>
          <w:sz w:val="24"/>
        </w:rPr>
      </w:pPr>
      <w:r>
        <w:rPr>
          <w:rFonts w:hint="eastAsia" w:ascii="宋体" w:hAnsi="宋体"/>
          <w:sz w:val="24"/>
        </w:rPr>
        <w:t>本合同生效后，双方对合同内容的变更或补充应采取书面形式，作为本合同的附件。附件与本合同具有同等的法律效力。</w:t>
      </w:r>
    </w:p>
    <w:p>
      <w:pPr>
        <w:spacing w:line="348" w:lineRule="auto"/>
        <w:ind w:firstLine="480" w:firstLineChars="200"/>
        <w:rPr>
          <w:rFonts w:hint="eastAsia" w:ascii="宋体" w:hAnsi="宋体"/>
          <w:sz w:val="24"/>
        </w:rPr>
      </w:pPr>
      <w:r>
        <w:rPr>
          <w:rFonts w:hint="eastAsia" w:ascii="宋体" w:hAnsi="宋体"/>
          <w:sz w:val="24"/>
        </w:rPr>
        <w:t>（以下无正文）</w:t>
      </w:r>
    </w:p>
    <w:p>
      <w:pPr>
        <w:spacing w:line="348" w:lineRule="auto"/>
        <w:ind w:firstLine="540" w:firstLineChars="225"/>
        <w:rPr>
          <w:rFonts w:hint="eastAsia" w:ascii="宋体" w:hAnsi="宋体"/>
          <w:sz w:val="24"/>
        </w:rPr>
      </w:pPr>
    </w:p>
    <w:p>
      <w:pPr>
        <w:spacing w:line="348" w:lineRule="auto"/>
        <w:ind w:firstLine="240" w:firstLineChars="100"/>
        <w:rPr>
          <w:rFonts w:hint="eastAsia" w:ascii="宋体" w:hAnsi="宋体"/>
          <w:sz w:val="24"/>
          <w:lang w:val="en-US" w:eastAsia="zh-CN"/>
        </w:rPr>
      </w:pPr>
      <w:r>
        <w:rPr>
          <w:rFonts w:hint="eastAsia" w:ascii="宋体" w:hAnsi="宋体"/>
          <w:sz w:val="24"/>
          <w:lang w:eastAsia="zh-CN"/>
        </w:rPr>
        <w:t>附件：</w:t>
      </w:r>
      <w:r>
        <w:rPr>
          <w:rFonts w:hint="eastAsia" w:ascii="宋体" w:hAnsi="宋体"/>
          <w:sz w:val="24"/>
          <w:lang w:val="en-US" w:eastAsia="zh-CN"/>
        </w:rPr>
        <w:t>1、租赁区域平面图</w:t>
      </w:r>
    </w:p>
    <w:p>
      <w:pPr>
        <w:spacing w:line="348" w:lineRule="auto"/>
        <w:ind w:firstLine="960" w:firstLineChars="400"/>
        <w:rPr>
          <w:rFonts w:hint="eastAsia" w:ascii="宋体" w:hAnsi="宋体"/>
          <w:sz w:val="24"/>
        </w:rPr>
      </w:pPr>
      <w:r>
        <w:rPr>
          <w:rFonts w:hint="eastAsia" w:ascii="宋体" w:hAnsi="宋体"/>
          <w:sz w:val="24"/>
          <w:lang w:val="en-US" w:eastAsia="zh-CN"/>
        </w:rPr>
        <w:t>2、</w:t>
      </w:r>
      <w:r>
        <w:rPr>
          <w:rFonts w:hint="eastAsia" w:ascii="宋体" w:hAnsi="宋体"/>
          <w:sz w:val="24"/>
        </w:rPr>
        <w:t>安全责任书</w:t>
      </w:r>
    </w:p>
    <w:p>
      <w:pPr>
        <w:numPr>
          <w:ilvl w:val="-1"/>
          <w:numId w:val="0"/>
        </w:numPr>
        <w:spacing w:line="348" w:lineRule="auto"/>
        <w:ind w:left="0" w:firstLine="0" w:firstLineChars="0"/>
        <w:rPr>
          <w:rFonts w:hint="default" w:ascii="宋体" w:hAnsi="宋体"/>
          <w:sz w:val="24"/>
          <w:lang w:val="en-US" w:eastAsia="zh-CN"/>
        </w:rPr>
      </w:pPr>
    </w:p>
    <w:p>
      <w:pPr>
        <w:numPr>
          <w:ilvl w:val="-1"/>
          <w:numId w:val="0"/>
        </w:numPr>
        <w:spacing w:line="348" w:lineRule="auto"/>
        <w:ind w:left="0" w:firstLine="0" w:firstLineChars="0"/>
        <w:rPr>
          <w:rFonts w:hint="default" w:ascii="宋体" w:hAnsi="宋体"/>
          <w:sz w:val="24"/>
          <w:lang w:val="en-US" w:eastAsia="zh-CN"/>
        </w:rPr>
      </w:pPr>
    </w:p>
    <w:p>
      <w:pPr>
        <w:numPr>
          <w:ilvl w:val="-1"/>
          <w:numId w:val="0"/>
        </w:numPr>
        <w:spacing w:line="348" w:lineRule="auto"/>
        <w:ind w:left="0" w:firstLine="0" w:firstLineChars="0"/>
        <w:rPr>
          <w:rFonts w:hint="default" w:ascii="宋体" w:hAnsi="宋体"/>
          <w:sz w:val="24"/>
          <w:lang w:val="en-US" w:eastAsia="zh-CN"/>
        </w:rPr>
      </w:pPr>
    </w:p>
    <w:p>
      <w:pPr>
        <w:numPr>
          <w:ilvl w:val="-1"/>
          <w:numId w:val="0"/>
        </w:numPr>
        <w:spacing w:line="348" w:lineRule="auto"/>
        <w:ind w:left="0" w:firstLine="0" w:firstLineChars="0"/>
        <w:rPr>
          <w:rFonts w:hint="default" w:ascii="宋体" w:hAnsi="宋体"/>
          <w:sz w:val="24"/>
          <w:lang w:val="en-US" w:eastAsia="zh-CN"/>
        </w:rPr>
      </w:pPr>
    </w:p>
    <w:p>
      <w:pPr>
        <w:numPr>
          <w:ilvl w:val="-1"/>
          <w:numId w:val="0"/>
        </w:numPr>
        <w:spacing w:line="348" w:lineRule="auto"/>
        <w:ind w:left="0" w:firstLine="0" w:firstLineChars="0"/>
        <w:rPr>
          <w:rFonts w:hint="default" w:ascii="宋体" w:hAnsi="宋体"/>
          <w:sz w:val="24"/>
          <w:lang w:val="en-US" w:eastAsia="zh-CN"/>
        </w:rPr>
      </w:pPr>
    </w:p>
    <w:p>
      <w:pPr>
        <w:numPr>
          <w:ilvl w:val="-1"/>
          <w:numId w:val="0"/>
        </w:numPr>
        <w:spacing w:line="348" w:lineRule="auto"/>
        <w:ind w:left="0" w:firstLine="0" w:firstLineChars="0"/>
        <w:rPr>
          <w:rFonts w:hint="default" w:ascii="宋体" w:hAnsi="宋体"/>
          <w:sz w:val="24"/>
          <w:lang w:val="en-US" w:eastAsia="zh-CN"/>
        </w:rPr>
      </w:pPr>
    </w:p>
    <w:p>
      <w:pPr>
        <w:numPr>
          <w:ilvl w:val="-1"/>
          <w:numId w:val="0"/>
        </w:numPr>
        <w:spacing w:line="348" w:lineRule="auto"/>
        <w:ind w:left="0" w:firstLine="0" w:firstLineChars="0"/>
        <w:rPr>
          <w:rFonts w:hint="default" w:ascii="宋体" w:hAnsi="宋体"/>
          <w:sz w:val="24"/>
          <w:lang w:val="en-US" w:eastAsia="zh-CN"/>
        </w:rPr>
      </w:pPr>
    </w:p>
    <w:p>
      <w:pPr>
        <w:numPr>
          <w:ilvl w:val="-1"/>
          <w:numId w:val="0"/>
        </w:numPr>
        <w:spacing w:line="348" w:lineRule="auto"/>
        <w:ind w:left="0" w:firstLine="0" w:firstLineChars="0"/>
        <w:rPr>
          <w:rFonts w:hint="default" w:ascii="宋体" w:hAnsi="宋体"/>
          <w:sz w:val="24"/>
          <w:lang w:val="en-US" w:eastAsia="zh-CN"/>
        </w:rPr>
      </w:pPr>
    </w:p>
    <w:p>
      <w:pPr>
        <w:numPr>
          <w:ilvl w:val="-1"/>
          <w:numId w:val="0"/>
        </w:numPr>
        <w:spacing w:line="348" w:lineRule="auto"/>
        <w:ind w:left="0" w:firstLine="0" w:firstLineChars="0"/>
        <w:rPr>
          <w:rFonts w:hint="default" w:ascii="宋体" w:hAnsi="宋体"/>
          <w:sz w:val="24"/>
          <w:lang w:val="en-US" w:eastAsia="zh-CN"/>
        </w:rPr>
      </w:pPr>
    </w:p>
    <w:p>
      <w:pPr>
        <w:numPr>
          <w:ilvl w:val="-1"/>
          <w:numId w:val="0"/>
        </w:numPr>
        <w:spacing w:line="348" w:lineRule="auto"/>
        <w:ind w:left="0" w:firstLine="0" w:firstLineChars="0"/>
        <w:rPr>
          <w:rFonts w:hint="default" w:ascii="宋体" w:hAnsi="宋体"/>
          <w:sz w:val="24"/>
          <w:lang w:val="en-US" w:eastAsia="zh-CN"/>
        </w:rPr>
      </w:pPr>
    </w:p>
    <w:p>
      <w:pPr>
        <w:numPr>
          <w:ilvl w:val="-1"/>
          <w:numId w:val="0"/>
        </w:numPr>
        <w:spacing w:line="348" w:lineRule="auto"/>
        <w:ind w:left="0" w:firstLine="0" w:firstLineChars="0"/>
        <w:rPr>
          <w:rFonts w:hint="default" w:ascii="宋体" w:hAnsi="宋体"/>
          <w:sz w:val="24"/>
          <w:lang w:val="en-US" w:eastAsia="zh-CN"/>
        </w:rPr>
      </w:pPr>
    </w:p>
    <w:p>
      <w:pPr>
        <w:numPr>
          <w:ilvl w:val="-1"/>
          <w:numId w:val="0"/>
        </w:numPr>
        <w:spacing w:line="348" w:lineRule="auto"/>
        <w:ind w:left="0" w:firstLine="0" w:firstLineChars="0"/>
        <w:rPr>
          <w:rFonts w:hint="default" w:ascii="宋体" w:hAnsi="宋体"/>
          <w:sz w:val="24"/>
          <w:lang w:val="en-US" w:eastAsia="zh-CN"/>
        </w:rPr>
      </w:pPr>
    </w:p>
    <w:p>
      <w:pPr>
        <w:numPr>
          <w:ilvl w:val="-1"/>
          <w:numId w:val="0"/>
        </w:numPr>
        <w:spacing w:line="348" w:lineRule="auto"/>
        <w:ind w:left="0" w:firstLine="0" w:firstLineChars="0"/>
        <w:rPr>
          <w:rFonts w:hint="default" w:ascii="宋体" w:hAnsi="宋体"/>
          <w:sz w:val="24"/>
          <w:lang w:val="en-US" w:eastAsia="zh-CN"/>
        </w:rPr>
      </w:pPr>
    </w:p>
    <w:p>
      <w:pPr>
        <w:numPr>
          <w:ilvl w:val="-1"/>
          <w:numId w:val="0"/>
        </w:numPr>
        <w:spacing w:line="348" w:lineRule="auto"/>
        <w:ind w:left="0" w:firstLine="0" w:firstLineChars="0"/>
        <w:rPr>
          <w:rFonts w:hint="default" w:ascii="宋体" w:hAnsi="宋体"/>
          <w:sz w:val="24"/>
          <w:lang w:val="en-US" w:eastAsia="zh-CN"/>
        </w:rPr>
      </w:pPr>
    </w:p>
    <w:p>
      <w:pPr>
        <w:numPr>
          <w:ilvl w:val="-1"/>
          <w:numId w:val="0"/>
        </w:numPr>
        <w:spacing w:line="348" w:lineRule="auto"/>
        <w:ind w:left="0" w:firstLine="0" w:firstLineChars="0"/>
        <w:rPr>
          <w:rFonts w:hint="default" w:ascii="宋体" w:hAnsi="宋体"/>
          <w:sz w:val="24"/>
          <w:lang w:val="en-US" w:eastAsia="zh-CN"/>
        </w:rPr>
      </w:pPr>
    </w:p>
    <w:p>
      <w:pPr>
        <w:numPr>
          <w:ilvl w:val="-1"/>
          <w:numId w:val="0"/>
        </w:numPr>
        <w:spacing w:line="348" w:lineRule="auto"/>
        <w:ind w:left="0" w:firstLine="0" w:firstLineChars="0"/>
        <w:rPr>
          <w:rFonts w:hint="default" w:ascii="宋体" w:hAnsi="宋体"/>
          <w:sz w:val="24"/>
          <w:lang w:val="en-US" w:eastAsia="zh-CN"/>
        </w:rPr>
      </w:pPr>
    </w:p>
    <w:p>
      <w:pPr>
        <w:numPr>
          <w:ilvl w:val="-1"/>
          <w:numId w:val="0"/>
        </w:numPr>
        <w:spacing w:line="348" w:lineRule="auto"/>
        <w:ind w:left="0" w:firstLine="0" w:firstLineChars="0"/>
        <w:rPr>
          <w:rFonts w:hint="default" w:ascii="宋体" w:hAnsi="宋体"/>
          <w:sz w:val="24"/>
          <w:lang w:val="en-US" w:eastAsia="zh-CN"/>
        </w:rPr>
      </w:pPr>
    </w:p>
    <w:p>
      <w:pPr>
        <w:spacing w:line="348" w:lineRule="auto"/>
        <w:ind w:firstLine="482" w:firstLineChars="200"/>
        <w:jc w:val="left"/>
        <w:rPr>
          <w:rFonts w:ascii="宋体" w:hAnsi="宋体"/>
          <w:sz w:val="24"/>
        </w:rPr>
      </w:pPr>
      <w:r>
        <w:rPr>
          <w:rFonts w:hint="eastAsia" w:ascii="宋体" w:hAnsi="宋体"/>
          <w:b/>
          <w:sz w:val="24"/>
        </w:rPr>
        <w:t>甲、乙双方在签署本合同时确认：双方已详细阅读并完全同意本合同所有条款，双方对本合同条款的含义及相应的法律后果已全部通晓并充分理解。</w:t>
      </w:r>
    </w:p>
    <w:p>
      <w:pPr>
        <w:widowControl/>
        <w:spacing w:line="348" w:lineRule="auto"/>
        <w:jc w:val="left"/>
        <w:rPr>
          <w:rFonts w:ascii="宋体" w:hAnsi="宋体"/>
          <w:sz w:val="24"/>
        </w:rPr>
      </w:pPr>
    </w:p>
    <w:p>
      <w:pPr>
        <w:widowControl/>
        <w:spacing w:line="348" w:lineRule="auto"/>
        <w:jc w:val="left"/>
        <w:rPr>
          <w:rFonts w:ascii="宋体" w:hAnsi="宋体"/>
          <w:sz w:val="24"/>
        </w:rPr>
      </w:pPr>
      <w:r>
        <w:rPr>
          <w:rFonts w:hint="eastAsia" w:ascii="宋体" w:hAnsi="宋体"/>
          <w:b/>
          <w:sz w:val="24"/>
        </w:rPr>
        <w:t>甲方</w:t>
      </w:r>
      <w:r>
        <w:rPr>
          <w:rFonts w:hint="eastAsia" w:ascii="宋体" w:hAnsi="宋体"/>
          <w:sz w:val="24"/>
        </w:rPr>
        <w:t>（印章）：</w:t>
      </w:r>
    </w:p>
    <w:p>
      <w:pPr>
        <w:widowControl/>
        <w:spacing w:line="348" w:lineRule="auto"/>
        <w:jc w:val="left"/>
        <w:rPr>
          <w:rFonts w:ascii="宋体" w:hAnsi="宋体"/>
          <w:sz w:val="24"/>
        </w:rPr>
      </w:pPr>
    </w:p>
    <w:p>
      <w:pPr>
        <w:spacing w:line="348" w:lineRule="auto"/>
        <w:jc w:val="left"/>
        <w:rPr>
          <w:rFonts w:ascii="宋体" w:hAnsi="宋体"/>
          <w:sz w:val="24"/>
        </w:rPr>
      </w:pPr>
      <w:r>
        <w:rPr>
          <w:rFonts w:hint="eastAsia" w:ascii="宋体" w:hAnsi="宋体"/>
          <w:sz w:val="24"/>
        </w:rPr>
        <w:t>法定代表人:(签字)</w:t>
      </w:r>
    </w:p>
    <w:p>
      <w:pPr>
        <w:spacing w:line="348" w:lineRule="auto"/>
        <w:jc w:val="left"/>
        <w:rPr>
          <w:rFonts w:hint="eastAsia" w:ascii="宋体" w:hAnsi="宋体"/>
          <w:sz w:val="24"/>
        </w:rPr>
      </w:pPr>
      <w:r>
        <w:rPr>
          <w:rFonts w:hint="eastAsia" w:ascii="宋体" w:hAnsi="宋体"/>
          <w:sz w:val="24"/>
        </w:rPr>
        <w:t>或委托代理人：（签字）</w:t>
      </w:r>
    </w:p>
    <w:p>
      <w:pPr>
        <w:spacing w:line="348" w:lineRule="auto"/>
        <w:jc w:val="left"/>
        <w:rPr>
          <w:rFonts w:hint="eastAsia" w:ascii="宋体" w:hAnsi="宋体" w:eastAsia="宋体"/>
          <w:sz w:val="24"/>
          <w:lang w:eastAsia="zh-CN"/>
        </w:rPr>
      </w:pPr>
      <w:r>
        <w:rPr>
          <w:rFonts w:hint="eastAsia" w:ascii="宋体" w:hAnsi="宋体"/>
          <w:sz w:val="24"/>
          <w:lang w:eastAsia="zh-CN"/>
        </w:rPr>
        <w:t>经办人：（签字）</w:t>
      </w:r>
    </w:p>
    <w:p>
      <w:pPr>
        <w:spacing w:line="348" w:lineRule="auto"/>
        <w:ind w:firstLine="5640" w:firstLineChars="2350"/>
        <w:jc w:val="left"/>
        <w:rPr>
          <w:rFonts w:ascii="宋体" w:hAnsi="宋体"/>
          <w:sz w:val="24"/>
        </w:rPr>
      </w:pPr>
    </w:p>
    <w:p>
      <w:pPr>
        <w:spacing w:line="348" w:lineRule="auto"/>
        <w:ind w:right="480" w:firstLine="0" w:firstLineChars="0"/>
        <w:jc w:val="center"/>
        <w:rPr>
          <w:rFonts w:ascii="宋体" w:hAnsi="宋体"/>
          <w:sz w:val="24"/>
        </w:rPr>
      </w:pPr>
      <w:r>
        <w:rPr>
          <w:rFonts w:hint="eastAsia" w:ascii="宋体" w:hAnsi="宋体"/>
          <w:sz w:val="24"/>
          <w:lang w:val="en-US" w:eastAsia="zh-CN"/>
        </w:rPr>
        <w:t xml:space="preserve">                                          </w:t>
      </w:r>
      <w:r>
        <w:rPr>
          <w:rFonts w:hint="eastAsia" w:ascii="宋体" w:hAnsi="宋体"/>
          <w:sz w:val="24"/>
        </w:rPr>
        <w:t>年</w:t>
      </w:r>
      <w:r>
        <w:rPr>
          <w:rFonts w:hint="eastAsia" w:ascii="宋体" w:hAnsi="宋体"/>
          <w:sz w:val="24"/>
          <w:lang w:val="en-US" w:eastAsia="zh-CN"/>
        </w:rPr>
        <w:t xml:space="preserve">   </w:t>
      </w:r>
      <w:r>
        <w:rPr>
          <w:rFonts w:hint="eastAsia" w:ascii="宋体" w:hAnsi="宋体"/>
          <w:sz w:val="24"/>
        </w:rPr>
        <w:t>月</w:t>
      </w:r>
      <w:r>
        <w:rPr>
          <w:rFonts w:hint="eastAsia" w:ascii="宋体" w:hAnsi="宋体"/>
          <w:sz w:val="24"/>
          <w:lang w:val="en-US" w:eastAsia="zh-CN"/>
        </w:rPr>
        <w:t xml:space="preserve">   </w:t>
      </w:r>
      <w:r>
        <w:rPr>
          <w:rFonts w:hint="eastAsia" w:ascii="宋体" w:hAnsi="宋体"/>
          <w:sz w:val="24"/>
        </w:rPr>
        <w:t>日</w:t>
      </w:r>
    </w:p>
    <w:p>
      <w:pPr>
        <w:spacing w:line="348" w:lineRule="auto"/>
        <w:ind w:firstLine="5640" w:firstLineChars="2350"/>
        <w:jc w:val="left"/>
        <w:rPr>
          <w:rFonts w:ascii="宋体" w:hAnsi="宋体"/>
          <w:sz w:val="24"/>
        </w:rPr>
      </w:pPr>
    </w:p>
    <w:p>
      <w:pPr>
        <w:spacing w:line="348" w:lineRule="auto"/>
        <w:jc w:val="left"/>
        <w:rPr>
          <w:rFonts w:ascii="宋体" w:hAnsi="宋体"/>
          <w:sz w:val="24"/>
        </w:rPr>
      </w:pPr>
      <w:r>
        <w:rPr>
          <w:rFonts w:hint="eastAsia" w:ascii="宋体" w:hAnsi="宋体"/>
          <w:b/>
          <w:sz w:val="24"/>
        </w:rPr>
        <w:t>乙方</w:t>
      </w:r>
      <w:r>
        <w:rPr>
          <w:rFonts w:hint="eastAsia" w:ascii="宋体" w:hAnsi="宋体"/>
          <w:sz w:val="24"/>
        </w:rPr>
        <w:t>（印章）：</w:t>
      </w:r>
    </w:p>
    <w:p>
      <w:pPr>
        <w:spacing w:line="348" w:lineRule="auto"/>
        <w:jc w:val="left"/>
        <w:rPr>
          <w:rFonts w:ascii="宋体" w:hAnsi="宋体"/>
          <w:sz w:val="24"/>
        </w:rPr>
      </w:pPr>
    </w:p>
    <w:p>
      <w:pPr>
        <w:spacing w:line="348" w:lineRule="auto"/>
        <w:jc w:val="left"/>
        <w:rPr>
          <w:rFonts w:ascii="宋体" w:hAnsi="宋体"/>
          <w:sz w:val="24"/>
        </w:rPr>
      </w:pPr>
      <w:r>
        <w:rPr>
          <w:rFonts w:hint="eastAsia" w:ascii="宋体" w:hAnsi="宋体"/>
          <w:sz w:val="24"/>
        </w:rPr>
        <w:t>法定代表人:(签字)</w:t>
      </w:r>
    </w:p>
    <w:p>
      <w:pPr>
        <w:spacing w:line="348" w:lineRule="auto"/>
        <w:jc w:val="left"/>
        <w:rPr>
          <w:rFonts w:hint="eastAsia" w:ascii="宋体" w:hAnsi="宋体"/>
          <w:sz w:val="24"/>
        </w:rPr>
      </w:pPr>
      <w:r>
        <w:rPr>
          <w:rFonts w:hint="eastAsia" w:ascii="宋体" w:hAnsi="宋体"/>
          <w:sz w:val="24"/>
        </w:rPr>
        <w:t>或委托代理人：（签字）</w:t>
      </w:r>
    </w:p>
    <w:p>
      <w:pPr>
        <w:spacing w:line="348" w:lineRule="auto"/>
        <w:jc w:val="left"/>
        <w:rPr>
          <w:rFonts w:hint="eastAsia" w:ascii="宋体" w:hAnsi="宋体" w:eastAsia="宋体"/>
          <w:sz w:val="24"/>
          <w:lang w:eastAsia="zh-CN"/>
        </w:rPr>
      </w:pPr>
      <w:r>
        <w:rPr>
          <w:rFonts w:hint="eastAsia" w:ascii="宋体" w:hAnsi="宋体"/>
          <w:sz w:val="24"/>
          <w:lang w:eastAsia="zh-CN"/>
        </w:rPr>
        <w:t>经办人：（签字）</w:t>
      </w:r>
    </w:p>
    <w:p>
      <w:pPr>
        <w:spacing w:line="348" w:lineRule="auto"/>
        <w:jc w:val="left"/>
        <w:rPr>
          <w:rFonts w:ascii="宋体" w:hAnsi="宋体"/>
          <w:sz w:val="24"/>
        </w:rPr>
      </w:pPr>
    </w:p>
    <w:p>
      <w:pPr>
        <w:spacing w:line="348" w:lineRule="auto"/>
        <w:ind w:right="480" w:firstLine="5640" w:firstLineChars="2350"/>
        <w:rPr>
          <w:rFonts w:ascii="宋体" w:hAnsi="宋体"/>
          <w:b w:val="0"/>
          <w:bCs w:val="0"/>
          <w:sz w:val="24"/>
        </w:rPr>
      </w:pPr>
      <w:r>
        <w:rPr>
          <w:rFonts w:hint="eastAsia" w:ascii="宋体" w:hAnsi="宋体"/>
          <w:b w:val="0"/>
          <w:bCs w:val="0"/>
          <w:sz w:val="24"/>
        </w:rPr>
        <w:t>年</w:t>
      </w:r>
      <w:r>
        <w:rPr>
          <w:rFonts w:hint="eastAsia" w:ascii="宋体" w:hAnsi="宋体"/>
          <w:b w:val="0"/>
          <w:bCs w:val="0"/>
          <w:sz w:val="24"/>
          <w:lang w:val="en-US" w:eastAsia="zh-CN"/>
        </w:rPr>
        <w:t xml:space="preserve">   </w:t>
      </w:r>
      <w:r>
        <w:rPr>
          <w:rFonts w:hint="eastAsia" w:ascii="宋体" w:hAnsi="宋体"/>
          <w:b w:val="0"/>
          <w:bCs w:val="0"/>
          <w:sz w:val="24"/>
        </w:rPr>
        <w:t>月</w:t>
      </w:r>
      <w:r>
        <w:rPr>
          <w:rFonts w:hint="eastAsia" w:ascii="宋体" w:hAnsi="宋体"/>
          <w:b w:val="0"/>
          <w:bCs w:val="0"/>
          <w:sz w:val="24"/>
          <w:lang w:val="en-US" w:eastAsia="zh-CN"/>
        </w:rPr>
        <w:t xml:space="preserve">   </w:t>
      </w:r>
      <w:r>
        <w:rPr>
          <w:rFonts w:hint="eastAsia" w:ascii="宋体" w:hAnsi="宋体"/>
          <w:b w:val="0"/>
          <w:bCs w:val="0"/>
          <w:sz w:val="24"/>
        </w:rPr>
        <w:t>日</w:t>
      </w:r>
    </w:p>
    <w:p>
      <w:pPr>
        <w:spacing w:line="480" w:lineRule="exact"/>
        <w:jc w:val="left"/>
        <w:rPr>
          <w:rFonts w:ascii="宋体" w:hAnsi="宋体"/>
          <w:b/>
          <w:sz w:val="24"/>
        </w:rPr>
      </w:pPr>
    </w:p>
    <w:p>
      <w:pPr>
        <w:spacing w:line="480" w:lineRule="exact"/>
        <w:jc w:val="left"/>
        <w:rPr>
          <w:rFonts w:ascii="宋体" w:hAnsi="宋体"/>
          <w:b/>
          <w:sz w:val="24"/>
        </w:rPr>
      </w:pPr>
    </w:p>
    <w:p>
      <w:pPr>
        <w:spacing w:line="480" w:lineRule="exact"/>
        <w:jc w:val="left"/>
        <w:rPr>
          <w:rFonts w:ascii="宋体" w:hAnsi="宋体"/>
          <w:b/>
          <w:sz w:val="24"/>
        </w:rPr>
      </w:pPr>
    </w:p>
    <w:p>
      <w:pPr>
        <w:spacing w:line="480" w:lineRule="exact"/>
        <w:jc w:val="left"/>
        <w:rPr>
          <w:rFonts w:ascii="宋体" w:hAnsi="宋体"/>
          <w:b/>
          <w:sz w:val="24"/>
        </w:rPr>
      </w:pPr>
    </w:p>
    <w:p>
      <w:pPr>
        <w:spacing w:line="480" w:lineRule="exact"/>
        <w:jc w:val="left"/>
        <w:rPr>
          <w:rFonts w:ascii="宋体" w:hAnsi="宋体"/>
          <w:b/>
          <w:sz w:val="24"/>
        </w:rPr>
      </w:pPr>
    </w:p>
    <w:p>
      <w:pPr>
        <w:spacing w:line="480" w:lineRule="exact"/>
        <w:jc w:val="left"/>
        <w:rPr>
          <w:rFonts w:ascii="宋体" w:hAnsi="宋体"/>
          <w:b/>
          <w:sz w:val="24"/>
        </w:rPr>
      </w:pPr>
    </w:p>
    <w:p>
      <w:pPr>
        <w:spacing w:line="480" w:lineRule="exact"/>
        <w:jc w:val="left"/>
        <w:rPr>
          <w:rFonts w:ascii="宋体" w:hAnsi="宋体"/>
          <w:b/>
          <w:sz w:val="24"/>
        </w:rPr>
      </w:pPr>
    </w:p>
    <w:p>
      <w:pPr>
        <w:spacing w:line="480" w:lineRule="exact"/>
        <w:jc w:val="left"/>
        <w:rPr>
          <w:rFonts w:ascii="宋体" w:hAnsi="宋体"/>
          <w:b/>
          <w:sz w:val="24"/>
        </w:rPr>
      </w:pPr>
    </w:p>
    <w:p>
      <w:pPr>
        <w:spacing w:line="480" w:lineRule="exact"/>
        <w:jc w:val="left"/>
        <w:rPr>
          <w:rFonts w:ascii="宋体" w:hAnsi="宋体"/>
          <w:b/>
          <w:sz w:val="24"/>
        </w:rPr>
      </w:pPr>
    </w:p>
    <w:p>
      <w:pPr>
        <w:spacing w:line="480" w:lineRule="exact"/>
        <w:jc w:val="left"/>
        <w:rPr>
          <w:rFonts w:ascii="宋体" w:hAnsi="宋体"/>
          <w:b/>
          <w:sz w:val="24"/>
        </w:rPr>
      </w:pPr>
    </w:p>
    <w:p>
      <w:pPr>
        <w:spacing w:line="360" w:lineRule="auto"/>
        <w:rPr>
          <w:rFonts w:hint="eastAsia"/>
        </w:rPr>
      </w:pPr>
    </w:p>
    <w:p>
      <w:pPr>
        <w:spacing w:line="360" w:lineRule="auto"/>
        <w:rPr>
          <w:rFonts w:hint="eastAsia"/>
        </w:rPr>
      </w:pPr>
    </w:p>
    <w:p>
      <w:pPr>
        <w:spacing w:line="360" w:lineRule="auto"/>
        <w:rPr>
          <w:rFonts w:hint="eastAsia"/>
        </w:rPr>
      </w:pPr>
      <w:r>
        <w:rPr>
          <w:rFonts w:hint="eastAsia"/>
        </w:rPr>
        <w:t>附件：</w:t>
      </w:r>
    </w:p>
    <w:p>
      <w:pPr>
        <w:spacing w:line="360" w:lineRule="auto"/>
        <w:jc w:val="center"/>
        <w:rPr>
          <w:rFonts w:hint="eastAsia"/>
          <w:b/>
          <w:bCs/>
          <w:sz w:val="36"/>
          <w:szCs w:val="36"/>
        </w:rPr>
      </w:pPr>
      <w:r>
        <w:rPr>
          <w:rFonts w:hint="eastAsia"/>
          <w:b/>
          <w:bCs/>
          <w:sz w:val="36"/>
          <w:szCs w:val="36"/>
        </w:rPr>
        <w:t>安全责任书</w:t>
      </w:r>
    </w:p>
    <w:p>
      <w:pPr>
        <w:spacing w:line="360" w:lineRule="auto"/>
        <w:rPr>
          <w:rFonts w:hint="eastAsia"/>
        </w:rPr>
      </w:pPr>
    </w:p>
    <w:p>
      <w:pPr>
        <w:spacing w:line="400" w:lineRule="exact"/>
        <w:ind w:firstLine="480"/>
        <w:rPr>
          <w:sz w:val="24"/>
        </w:rPr>
      </w:pPr>
      <w:r>
        <w:rPr>
          <w:rFonts w:hint="eastAsia"/>
          <w:sz w:val="24"/>
        </w:rPr>
        <w:t>根据《安全生产法》及《消防法》有关规定，为全面落实该场所安全管理责任，坚决杜绝各种事故的发生，按照“谁使用、谁管理、谁负责”原则，乙方负有该场所使用期内的安全生产主体责任和消防安全主体责任，具体责任如下：</w:t>
      </w:r>
    </w:p>
    <w:p>
      <w:pPr>
        <w:numPr>
          <w:ilvl w:val="0"/>
          <w:numId w:val="3"/>
        </w:numPr>
        <w:spacing w:line="400" w:lineRule="exact"/>
        <w:ind w:firstLine="480"/>
        <w:rPr>
          <w:sz w:val="24"/>
        </w:rPr>
      </w:pPr>
      <w:r>
        <w:rPr>
          <w:rFonts w:hint="eastAsia"/>
          <w:sz w:val="24"/>
        </w:rPr>
        <w:t>乙方承诺已获得与其生产经营相匹配的安全生产条件或者相应资质。乙方必须遵守有关安全生产的相关法律法规，严格履行法律法规规定的安全生产义务，承担安全生产主体责任，采取有效措施预防安全事故发生，对场所安全生产承担全部责任。</w:t>
      </w:r>
    </w:p>
    <w:p>
      <w:pPr>
        <w:numPr>
          <w:ilvl w:val="0"/>
          <w:numId w:val="3"/>
        </w:numPr>
        <w:spacing w:line="400" w:lineRule="exact"/>
        <w:ind w:firstLine="480"/>
        <w:rPr>
          <w:sz w:val="24"/>
        </w:rPr>
      </w:pPr>
      <w:r>
        <w:rPr>
          <w:rFonts w:hint="eastAsia"/>
          <w:sz w:val="24"/>
        </w:rPr>
        <w:t>乙方应当贯彻“预防为主，消防结合”的方针，承担单位消防全面责任，落实消防安全责任制，加强对本单位人员的消防宣传教育，依法承担场所消防安全职责。</w:t>
      </w:r>
    </w:p>
    <w:p>
      <w:pPr>
        <w:numPr>
          <w:ilvl w:val="0"/>
          <w:numId w:val="3"/>
        </w:numPr>
        <w:spacing w:line="400" w:lineRule="exact"/>
        <w:ind w:firstLine="480"/>
        <w:rPr>
          <w:sz w:val="24"/>
        </w:rPr>
      </w:pPr>
      <w:r>
        <w:rPr>
          <w:rFonts w:hint="eastAsia"/>
          <w:sz w:val="24"/>
        </w:rPr>
        <w:t>树立消防防火意识，做好用电、用水、用气等设施设备管理，使用过后及时关闭电源，确保设施安全。</w:t>
      </w:r>
    </w:p>
    <w:p>
      <w:pPr>
        <w:numPr>
          <w:ilvl w:val="0"/>
          <w:numId w:val="3"/>
        </w:numPr>
        <w:spacing w:line="400" w:lineRule="exact"/>
        <w:ind w:firstLine="480"/>
        <w:rPr>
          <w:sz w:val="24"/>
        </w:rPr>
      </w:pPr>
      <w:r>
        <w:rPr>
          <w:rFonts w:hint="eastAsia"/>
          <w:sz w:val="24"/>
        </w:rPr>
        <w:t>对所属人员进行消防意识的宣传教育，提高消防意识，使场所的使用人员都能掌握和使用所配备的消防设施及器材，具备发生火灾发生后逃生、自救的技能。根据相关消防管理规定，乙方对全体员工至少每半年开展一次消防安全知识培训，对新入职员工开展上岗前消防安全培训，并定期组织消防演练，确保全员具备基本的消防安全管理能力。</w:t>
      </w:r>
    </w:p>
    <w:p>
      <w:pPr>
        <w:numPr>
          <w:ilvl w:val="0"/>
          <w:numId w:val="3"/>
        </w:numPr>
        <w:spacing w:line="400" w:lineRule="exact"/>
        <w:ind w:firstLine="480"/>
        <w:rPr>
          <w:sz w:val="24"/>
        </w:rPr>
      </w:pPr>
      <w:r>
        <w:rPr>
          <w:rFonts w:hint="eastAsia"/>
          <w:sz w:val="24"/>
        </w:rPr>
        <w:t>定期对场所的电器、线路进行检查，加强安全性能维护，并配合甲方或物业部门相关人员对场所进行的消防安全检查、监督，一旦发现安全问题，应当及时配合整改。</w:t>
      </w:r>
    </w:p>
    <w:p>
      <w:pPr>
        <w:numPr>
          <w:ilvl w:val="0"/>
          <w:numId w:val="3"/>
        </w:numPr>
        <w:spacing w:line="400" w:lineRule="exact"/>
        <w:ind w:firstLine="480"/>
        <w:rPr>
          <w:sz w:val="24"/>
        </w:rPr>
      </w:pPr>
      <w:r>
        <w:rPr>
          <w:rFonts w:hint="eastAsia"/>
          <w:sz w:val="24"/>
        </w:rPr>
        <w:t>各种用电设备必须保持正常运转，严禁设备超负荷运行及带病作业；安装和修理用电设备时，应由专业人员进行操作并认真检查，严禁带电作业。未经甲方、物业部门审批允许，不准私拉电力线路，以防火灾。</w:t>
      </w:r>
    </w:p>
    <w:p>
      <w:pPr>
        <w:numPr>
          <w:ilvl w:val="0"/>
          <w:numId w:val="3"/>
        </w:numPr>
        <w:spacing w:line="400" w:lineRule="exact"/>
        <w:ind w:firstLine="480"/>
        <w:rPr>
          <w:sz w:val="24"/>
        </w:rPr>
      </w:pPr>
      <w:r>
        <w:rPr>
          <w:rFonts w:hint="eastAsia"/>
          <w:sz w:val="24"/>
        </w:rPr>
        <w:t>禁止使用和存放易燃易爆及其他危险品，禁止在建筑物内吸烟，禁止使用明火。</w:t>
      </w:r>
    </w:p>
    <w:p>
      <w:pPr>
        <w:numPr>
          <w:ilvl w:val="0"/>
          <w:numId w:val="3"/>
        </w:numPr>
        <w:spacing w:line="400" w:lineRule="exact"/>
        <w:ind w:firstLine="480"/>
        <w:rPr>
          <w:sz w:val="24"/>
        </w:rPr>
      </w:pPr>
      <w:r>
        <w:rPr>
          <w:rFonts w:hint="eastAsia"/>
          <w:sz w:val="24"/>
        </w:rPr>
        <w:t>在原有场地的消防器材基础上，根据自身实际情况配备充足的消防器材。</w:t>
      </w:r>
    </w:p>
    <w:p>
      <w:pPr>
        <w:numPr>
          <w:ilvl w:val="0"/>
          <w:numId w:val="3"/>
        </w:numPr>
        <w:spacing w:line="400" w:lineRule="exact"/>
        <w:ind w:firstLine="480"/>
        <w:rPr>
          <w:sz w:val="24"/>
        </w:rPr>
      </w:pPr>
      <w:r>
        <w:rPr>
          <w:rFonts w:hint="eastAsia"/>
          <w:sz w:val="24"/>
        </w:rPr>
        <w:t>遵守安全用电管理规定，严禁超负荷使用电量，严禁私拉乱接电源，自行购置的电器或其他设备应当合格且符合国家标准及安全要求，并与甲方提供的水、电等荷载相匹配，禁止使用热得快、电暖气、电热毯、煤炉等高负荷、高危险性设备或物品。</w:t>
      </w:r>
    </w:p>
    <w:p>
      <w:pPr>
        <w:numPr>
          <w:ilvl w:val="0"/>
          <w:numId w:val="3"/>
        </w:numPr>
        <w:spacing w:line="400" w:lineRule="exact"/>
        <w:ind w:firstLine="480"/>
        <w:rPr>
          <w:sz w:val="24"/>
        </w:rPr>
      </w:pPr>
      <w:r>
        <w:rPr>
          <w:rFonts w:hint="eastAsia"/>
          <w:sz w:val="24"/>
        </w:rPr>
        <w:t>不得利用该场所从事非法生产、加工、储存、经营爆炸性、毒害性、放射性、腐蚀性物质或传染病病原体等危险物质和其他违法活动。</w:t>
      </w:r>
    </w:p>
    <w:p>
      <w:pPr>
        <w:numPr>
          <w:ilvl w:val="0"/>
          <w:numId w:val="3"/>
        </w:numPr>
        <w:spacing w:line="400" w:lineRule="exact"/>
        <w:ind w:firstLine="480"/>
        <w:rPr>
          <w:sz w:val="24"/>
        </w:rPr>
      </w:pPr>
      <w:r>
        <w:rPr>
          <w:rFonts w:hint="eastAsia"/>
          <w:sz w:val="24"/>
        </w:rPr>
        <w:t>负责场所内治安防范的实施和管理，对场所范围内的安保工作全面负责、承担责任。</w:t>
      </w:r>
    </w:p>
    <w:p>
      <w:pPr>
        <w:numPr>
          <w:ilvl w:val="0"/>
          <w:numId w:val="3"/>
        </w:numPr>
        <w:spacing w:line="400" w:lineRule="exact"/>
        <w:ind w:firstLine="480"/>
        <w:rPr>
          <w:sz w:val="24"/>
        </w:rPr>
      </w:pPr>
      <w:r>
        <w:rPr>
          <w:rFonts w:hint="eastAsia"/>
          <w:sz w:val="24"/>
        </w:rPr>
        <w:t>各种设施设备的使用不影响甲方的房屋设施，所属人员未经许可，严禁在场所以外使用及堆放物品，自觉接受甲方或物业部门的监督和指导，对甲方或物业部门提出的整改通知，必须及时整改到位；一旦发生人身伤害及房屋损坏，由乙方承担全部责任。</w:t>
      </w:r>
    </w:p>
    <w:p>
      <w:pPr>
        <w:numPr>
          <w:ilvl w:val="0"/>
          <w:numId w:val="3"/>
        </w:numPr>
        <w:spacing w:line="400" w:lineRule="exact"/>
        <w:ind w:firstLine="480"/>
        <w:rPr>
          <w:sz w:val="24"/>
        </w:rPr>
      </w:pPr>
      <w:r>
        <w:rPr>
          <w:rFonts w:hint="eastAsia"/>
          <w:sz w:val="24"/>
        </w:rPr>
        <w:t>消防通道、消防车通道和出入口必须保持畅通无阻，任何单位或个人不得占用或封堵。严禁在通道上堆放物品。妥善维护电梯、楼梯、走廊和出口的安全疏导指示系统、应急照明灯设施、建筑消防设施等相关消防设备，主动配合当地消防部门检查。</w:t>
      </w:r>
    </w:p>
    <w:p>
      <w:pPr>
        <w:numPr>
          <w:ilvl w:val="0"/>
          <w:numId w:val="3"/>
        </w:numPr>
        <w:spacing w:line="400" w:lineRule="exact"/>
        <w:ind w:firstLine="480"/>
        <w:rPr>
          <w:sz w:val="24"/>
        </w:rPr>
      </w:pPr>
      <w:r>
        <w:rPr>
          <w:rFonts w:hint="eastAsia"/>
          <w:sz w:val="24"/>
        </w:rPr>
        <w:t>主要负责人、分管负责人和安全生产管理人员，必须具备与生产经营活动相适应的安全生产知识以及管理能力。根据《安全生产法》及《消防法》有关规定，使用单位的主要负责人是单位安全生产第一责任人也是消防安全责任人。</w:t>
      </w:r>
    </w:p>
    <w:p>
      <w:pPr>
        <w:numPr>
          <w:ilvl w:val="0"/>
          <w:numId w:val="3"/>
        </w:numPr>
        <w:spacing w:line="400" w:lineRule="exact"/>
        <w:ind w:firstLine="480"/>
        <w:rPr>
          <w:sz w:val="24"/>
        </w:rPr>
      </w:pPr>
      <w:r>
        <w:rPr>
          <w:rFonts w:hint="eastAsia"/>
          <w:sz w:val="24"/>
        </w:rPr>
        <w:t>进行任何装饰装修必须经过甲方的书面同意，需要进行动火作业的，必须经过甲方或物业部门的审批后，在专业人员的监督下，由持有明火操作证的人员进行作业。施工现场严禁吸烟，同时施工人员必须办理临时出入证件。</w:t>
      </w:r>
    </w:p>
    <w:p>
      <w:pPr>
        <w:numPr>
          <w:ilvl w:val="0"/>
          <w:numId w:val="3"/>
        </w:numPr>
        <w:spacing w:line="400" w:lineRule="exact"/>
        <w:ind w:firstLine="480"/>
      </w:pPr>
      <w:r>
        <w:rPr>
          <w:rFonts w:hint="eastAsia"/>
          <w:sz w:val="24"/>
        </w:rPr>
        <w:t>若乙方违反本安全责任书，因此产生的一切人身或财产损失由乙方承担, 并且甲方有权解除合同，追究乙方的违约责任。</w:t>
      </w:r>
    </w:p>
    <w:p>
      <w:pPr>
        <w:spacing w:line="360" w:lineRule="auto"/>
      </w:pPr>
    </w:p>
    <w:sectPr>
      <w:footerReference r:id="rId3" w:type="default"/>
      <w:footerReference r:id="rId4" w:type="even"/>
      <w:pgSz w:w="11906" w:h="16838"/>
      <w:pgMar w:top="1440" w:right="1797" w:bottom="1440" w:left="2098"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fldChar w:fldCharType="begin"/>
    </w:r>
    <w:r>
      <w:instrText xml:space="preserve"> PAGE   \* MERGEFORMAT </w:instrText>
    </w:r>
    <w:r>
      <w:fldChar w:fldCharType="separate"/>
    </w:r>
    <w:r>
      <w:rPr>
        <w:lang w:val="zh-CN"/>
      </w:rPr>
      <w:t>2</w:t>
    </w:r>
    <w:r>
      <w:fldChar w:fldCharType="end"/>
    </w:r>
  </w:p>
  <w:p>
    <w:pPr>
      <w:pStyle w:val="4"/>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10"/>
      </w:rPr>
    </w:pPr>
    <w:r>
      <w:fldChar w:fldCharType="begin"/>
    </w:r>
    <w:r>
      <w:rPr>
        <w:rStyle w:val="10"/>
      </w:rPr>
      <w:instrText xml:space="preserve">PAGE  </w:instrText>
    </w:r>
    <w:r>
      <w:fldChar w:fldCharType="end"/>
    </w:r>
  </w:p>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51C496B"/>
    <w:multiLevelType w:val="singleLevel"/>
    <w:tmpl w:val="351C496B"/>
    <w:lvl w:ilvl="0" w:tentative="0">
      <w:start w:val="1"/>
      <w:numFmt w:val="chineseCounting"/>
      <w:suff w:val="nothing"/>
      <w:lvlText w:val="%1、"/>
      <w:lvlJc w:val="left"/>
      <w:rPr>
        <w:rFonts w:hint="eastAsia"/>
      </w:rPr>
    </w:lvl>
  </w:abstractNum>
  <w:abstractNum w:abstractNumId="1">
    <w:nsid w:val="4BA07B7B"/>
    <w:multiLevelType w:val="multilevel"/>
    <w:tmpl w:val="4BA07B7B"/>
    <w:lvl w:ilvl="0" w:tentative="0">
      <w:start w:val="1"/>
      <w:numFmt w:val="japaneseCounting"/>
      <w:lvlText w:val="（%1）"/>
      <w:lvlJc w:val="left"/>
      <w:pPr>
        <w:tabs>
          <w:tab w:val="left" w:pos="1080"/>
        </w:tabs>
        <w:ind w:left="1080" w:hanging="720"/>
      </w:pPr>
      <w:rPr>
        <w:rFonts w:hint="default"/>
        <w:lang w:val="en-US"/>
      </w:rPr>
    </w:lvl>
    <w:lvl w:ilvl="1" w:tentative="0">
      <w:start w:val="1"/>
      <w:numFmt w:val="lowerLetter"/>
      <w:lvlText w:val="%2)"/>
      <w:lvlJc w:val="left"/>
      <w:pPr>
        <w:tabs>
          <w:tab w:val="left" w:pos="1200"/>
        </w:tabs>
        <w:ind w:left="1200" w:hanging="420"/>
      </w:pPr>
    </w:lvl>
    <w:lvl w:ilvl="2" w:tentative="0">
      <w:start w:val="1"/>
      <w:numFmt w:val="lowerRoman"/>
      <w:lvlText w:val="%3."/>
      <w:lvlJc w:val="right"/>
      <w:pPr>
        <w:tabs>
          <w:tab w:val="left" w:pos="1620"/>
        </w:tabs>
        <w:ind w:left="1620" w:hanging="420"/>
      </w:pPr>
    </w:lvl>
    <w:lvl w:ilvl="3" w:tentative="0">
      <w:start w:val="1"/>
      <w:numFmt w:val="decimal"/>
      <w:lvlText w:val="%4."/>
      <w:lvlJc w:val="left"/>
      <w:pPr>
        <w:tabs>
          <w:tab w:val="left" w:pos="2040"/>
        </w:tabs>
        <w:ind w:left="2040" w:hanging="420"/>
      </w:pPr>
    </w:lvl>
    <w:lvl w:ilvl="4" w:tentative="0">
      <w:start w:val="1"/>
      <w:numFmt w:val="lowerLetter"/>
      <w:lvlText w:val="%5)"/>
      <w:lvlJc w:val="left"/>
      <w:pPr>
        <w:tabs>
          <w:tab w:val="left" w:pos="2460"/>
        </w:tabs>
        <w:ind w:left="2460" w:hanging="420"/>
      </w:pPr>
    </w:lvl>
    <w:lvl w:ilvl="5" w:tentative="0">
      <w:start w:val="1"/>
      <w:numFmt w:val="lowerRoman"/>
      <w:lvlText w:val="%6."/>
      <w:lvlJc w:val="right"/>
      <w:pPr>
        <w:tabs>
          <w:tab w:val="left" w:pos="2880"/>
        </w:tabs>
        <w:ind w:left="2880" w:hanging="420"/>
      </w:pPr>
    </w:lvl>
    <w:lvl w:ilvl="6" w:tentative="0">
      <w:start w:val="1"/>
      <w:numFmt w:val="decimal"/>
      <w:lvlText w:val="%7."/>
      <w:lvlJc w:val="left"/>
      <w:pPr>
        <w:tabs>
          <w:tab w:val="left" w:pos="3300"/>
        </w:tabs>
        <w:ind w:left="3300" w:hanging="420"/>
      </w:pPr>
    </w:lvl>
    <w:lvl w:ilvl="7" w:tentative="0">
      <w:start w:val="1"/>
      <w:numFmt w:val="lowerLetter"/>
      <w:lvlText w:val="%8)"/>
      <w:lvlJc w:val="left"/>
      <w:pPr>
        <w:tabs>
          <w:tab w:val="left" w:pos="3720"/>
        </w:tabs>
        <w:ind w:left="3720" w:hanging="420"/>
      </w:pPr>
    </w:lvl>
    <w:lvl w:ilvl="8" w:tentative="0">
      <w:start w:val="1"/>
      <w:numFmt w:val="lowerRoman"/>
      <w:lvlText w:val="%9."/>
      <w:lvlJc w:val="right"/>
      <w:pPr>
        <w:tabs>
          <w:tab w:val="left" w:pos="4140"/>
        </w:tabs>
        <w:ind w:left="4140" w:hanging="420"/>
      </w:pPr>
    </w:lvl>
  </w:abstractNum>
  <w:abstractNum w:abstractNumId="2">
    <w:nsid w:val="53C60C8F"/>
    <w:multiLevelType w:val="multilevel"/>
    <w:tmpl w:val="53C60C8F"/>
    <w:lvl w:ilvl="0" w:tentative="0">
      <w:start w:val="1"/>
      <w:numFmt w:val="decimal"/>
      <w:lvlText w:val="（%1）"/>
      <w:lvlJc w:val="left"/>
      <w:pPr>
        <w:ind w:left="845" w:hanging="420"/>
      </w:pPr>
      <w:rPr>
        <w:rFonts w:hint="eastAsia"/>
      </w:rPr>
    </w:lvl>
    <w:lvl w:ilvl="1" w:tentative="0">
      <w:start w:val="1"/>
      <w:numFmt w:val="bullet"/>
      <w:lvlText w:val=""/>
      <w:lvlJc w:val="left"/>
      <w:pPr>
        <w:ind w:left="1265" w:hanging="420"/>
      </w:pPr>
      <w:rPr>
        <w:rFonts w:hint="default" w:ascii="Wingdings" w:hAnsi="Wingdings"/>
      </w:rPr>
    </w:lvl>
    <w:lvl w:ilvl="2" w:tentative="0">
      <w:start w:val="1"/>
      <w:numFmt w:val="bullet"/>
      <w:lvlText w:val=""/>
      <w:lvlJc w:val="left"/>
      <w:pPr>
        <w:ind w:left="1685" w:hanging="420"/>
      </w:pPr>
      <w:rPr>
        <w:rFonts w:hint="default" w:ascii="Wingdings" w:hAnsi="Wingdings"/>
      </w:rPr>
    </w:lvl>
    <w:lvl w:ilvl="3" w:tentative="0">
      <w:start w:val="1"/>
      <w:numFmt w:val="bullet"/>
      <w:lvlText w:val=""/>
      <w:lvlJc w:val="left"/>
      <w:pPr>
        <w:ind w:left="2105" w:hanging="420"/>
      </w:pPr>
      <w:rPr>
        <w:rFonts w:hint="default" w:ascii="Wingdings" w:hAnsi="Wingdings"/>
      </w:rPr>
    </w:lvl>
    <w:lvl w:ilvl="4" w:tentative="0">
      <w:start w:val="1"/>
      <w:numFmt w:val="bullet"/>
      <w:lvlText w:val=""/>
      <w:lvlJc w:val="left"/>
      <w:pPr>
        <w:ind w:left="2525" w:hanging="420"/>
      </w:pPr>
      <w:rPr>
        <w:rFonts w:hint="default" w:ascii="Wingdings" w:hAnsi="Wingdings"/>
      </w:rPr>
    </w:lvl>
    <w:lvl w:ilvl="5" w:tentative="0">
      <w:start w:val="1"/>
      <w:numFmt w:val="bullet"/>
      <w:lvlText w:val=""/>
      <w:lvlJc w:val="left"/>
      <w:pPr>
        <w:ind w:left="2945" w:hanging="420"/>
      </w:pPr>
      <w:rPr>
        <w:rFonts w:hint="default" w:ascii="Wingdings" w:hAnsi="Wingdings"/>
      </w:rPr>
    </w:lvl>
    <w:lvl w:ilvl="6" w:tentative="0">
      <w:start w:val="1"/>
      <w:numFmt w:val="bullet"/>
      <w:lvlText w:val=""/>
      <w:lvlJc w:val="left"/>
      <w:pPr>
        <w:ind w:left="3365" w:hanging="420"/>
      </w:pPr>
      <w:rPr>
        <w:rFonts w:hint="default" w:ascii="Wingdings" w:hAnsi="Wingdings"/>
      </w:rPr>
    </w:lvl>
    <w:lvl w:ilvl="7" w:tentative="0">
      <w:start w:val="1"/>
      <w:numFmt w:val="bullet"/>
      <w:lvlText w:val=""/>
      <w:lvlJc w:val="left"/>
      <w:pPr>
        <w:ind w:left="3785" w:hanging="420"/>
      </w:pPr>
      <w:rPr>
        <w:rFonts w:hint="default" w:ascii="Wingdings" w:hAnsi="Wingdings"/>
      </w:rPr>
    </w:lvl>
    <w:lvl w:ilvl="8" w:tentative="0">
      <w:start w:val="1"/>
      <w:numFmt w:val="bullet"/>
      <w:lvlText w:val=""/>
      <w:lvlJc w:val="left"/>
      <w:pPr>
        <w:ind w:left="4205" w:hanging="420"/>
      </w:pPr>
      <w:rPr>
        <w:rFonts w:hint="default" w:ascii="Wingdings" w:hAnsi="Wingdings"/>
      </w:rPr>
    </w:lvl>
  </w:abstractNum>
  <w:num w:numId="1">
    <w:abstractNumId w:val="1"/>
  </w:num>
  <w:num w:numId="2">
    <w:abstractNumId w:val="2"/>
  </w:num>
  <w:num w:numId="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童六秀">
    <w15:presenceInfo w15:providerId="None" w15:userId="童六秀"/>
  </w15:person>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4113"/>
    <w:rsid w:val="00003A01"/>
    <w:rsid w:val="00005B5D"/>
    <w:rsid w:val="000079FD"/>
    <w:rsid w:val="00012124"/>
    <w:rsid w:val="00012400"/>
    <w:rsid w:val="00012724"/>
    <w:rsid w:val="0001507B"/>
    <w:rsid w:val="00015757"/>
    <w:rsid w:val="00020CDF"/>
    <w:rsid w:val="00020FAF"/>
    <w:rsid w:val="00024703"/>
    <w:rsid w:val="000251A7"/>
    <w:rsid w:val="00026646"/>
    <w:rsid w:val="000323B9"/>
    <w:rsid w:val="00032926"/>
    <w:rsid w:val="00034E7A"/>
    <w:rsid w:val="00035DC2"/>
    <w:rsid w:val="00036FAD"/>
    <w:rsid w:val="000370B2"/>
    <w:rsid w:val="0003728D"/>
    <w:rsid w:val="0004244E"/>
    <w:rsid w:val="00042CFD"/>
    <w:rsid w:val="000443D9"/>
    <w:rsid w:val="00045798"/>
    <w:rsid w:val="000509F0"/>
    <w:rsid w:val="00053074"/>
    <w:rsid w:val="00053EF1"/>
    <w:rsid w:val="00061AE2"/>
    <w:rsid w:val="00063933"/>
    <w:rsid w:val="00063950"/>
    <w:rsid w:val="00063B62"/>
    <w:rsid w:val="000649C4"/>
    <w:rsid w:val="000658D3"/>
    <w:rsid w:val="00066A43"/>
    <w:rsid w:val="00066AED"/>
    <w:rsid w:val="00076006"/>
    <w:rsid w:val="0008197A"/>
    <w:rsid w:val="0008303B"/>
    <w:rsid w:val="0008303F"/>
    <w:rsid w:val="00086918"/>
    <w:rsid w:val="0009028C"/>
    <w:rsid w:val="00091ABB"/>
    <w:rsid w:val="0009256B"/>
    <w:rsid w:val="00093621"/>
    <w:rsid w:val="0009387C"/>
    <w:rsid w:val="00095B0A"/>
    <w:rsid w:val="0009715A"/>
    <w:rsid w:val="000A5BBA"/>
    <w:rsid w:val="000A6D51"/>
    <w:rsid w:val="000A7158"/>
    <w:rsid w:val="000A72D9"/>
    <w:rsid w:val="000B0000"/>
    <w:rsid w:val="000B06FF"/>
    <w:rsid w:val="000B0EF3"/>
    <w:rsid w:val="000B1A11"/>
    <w:rsid w:val="000B283F"/>
    <w:rsid w:val="000B338D"/>
    <w:rsid w:val="000B4005"/>
    <w:rsid w:val="000B5423"/>
    <w:rsid w:val="000B73A8"/>
    <w:rsid w:val="000C6AC1"/>
    <w:rsid w:val="000D23FB"/>
    <w:rsid w:val="000D3733"/>
    <w:rsid w:val="000E5E89"/>
    <w:rsid w:val="000E6E9F"/>
    <w:rsid w:val="000F0C43"/>
    <w:rsid w:val="000F2BE7"/>
    <w:rsid w:val="000F4087"/>
    <w:rsid w:val="00101134"/>
    <w:rsid w:val="00101D2A"/>
    <w:rsid w:val="00104ADF"/>
    <w:rsid w:val="0010507D"/>
    <w:rsid w:val="0010723B"/>
    <w:rsid w:val="0011316A"/>
    <w:rsid w:val="001137F2"/>
    <w:rsid w:val="00117305"/>
    <w:rsid w:val="001217F9"/>
    <w:rsid w:val="00124B08"/>
    <w:rsid w:val="00130CF4"/>
    <w:rsid w:val="00131726"/>
    <w:rsid w:val="00134523"/>
    <w:rsid w:val="00134603"/>
    <w:rsid w:val="0013702A"/>
    <w:rsid w:val="0014277D"/>
    <w:rsid w:val="0014390F"/>
    <w:rsid w:val="0014704C"/>
    <w:rsid w:val="0014712C"/>
    <w:rsid w:val="001478F4"/>
    <w:rsid w:val="00150CCD"/>
    <w:rsid w:val="001525EC"/>
    <w:rsid w:val="00155115"/>
    <w:rsid w:val="00155AA7"/>
    <w:rsid w:val="00161296"/>
    <w:rsid w:val="001619C2"/>
    <w:rsid w:val="00175A0A"/>
    <w:rsid w:val="001764D3"/>
    <w:rsid w:val="0018093D"/>
    <w:rsid w:val="0018223D"/>
    <w:rsid w:val="0018419E"/>
    <w:rsid w:val="00184C77"/>
    <w:rsid w:val="001852AE"/>
    <w:rsid w:val="0019060B"/>
    <w:rsid w:val="00195940"/>
    <w:rsid w:val="00197BD2"/>
    <w:rsid w:val="001A052B"/>
    <w:rsid w:val="001A240C"/>
    <w:rsid w:val="001A347B"/>
    <w:rsid w:val="001A6CB1"/>
    <w:rsid w:val="001B00F4"/>
    <w:rsid w:val="001B30A7"/>
    <w:rsid w:val="001B3742"/>
    <w:rsid w:val="001B3B62"/>
    <w:rsid w:val="001B433F"/>
    <w:rsid w:val="001B4A90"/>
    <w:rsid w:val="001B4C13"/>
    <w:rsid w:val="001C0B0C"/>
    <w:rsid w:val="001C21E1"/>
    <w:rsid w:val="001C7FE9"/>
    <w:rsid w:val="001D17A1"/>
    <w:rsid w:val="001D7B2F"/>
    <w:rsid w:val="001E4502"/>
    <w:rsid w:val="001F1AD0"/>
    <w:rsid w:val="001F2D3F"/>
    <w:rsid w:val="001F2EF0"/>
    <w:rsid w:val="001F582E"/>
    <w:rsid w:val="001F6114"/>
    <w:rsid w:val="001F6757"/>
    <w:rsid w:val="00203EA6"/>
    <w:rsid w:val="00204248"/>
    <w:rsid w:val="00204E26"/>
    <w:rsid w:val="00205526"/>
    <w:rsid w:val="00205E6F"/>
    <w:rsid w:val="00206225"/>
    <w:rsid w:val="0021210F"/>
    <w:rsid w:val="0021352C"/>
    <w:rsid w:val="002165B9"/>
    <w:rsid w:val="002222EA"/>
    <w:rsid w:val="00222BDF"/>
    <w:rsid w:val="00224AB2"/>
    <w:rsid w:val="0022532E"/>
    <w:rsid w:val="00232DE8"/>
    <w:rsid w:val="00232E0C"/>
    <w:rsid w:val="00240D05"/>
    <w:rsid w:val="00240F02"/>
    <w:rsid w:val="0024350C"/>
    <w:rsid w:val="00243672"/>
    <w:rsid w:val="00247E94"/>
    <w:rsid w:val="00252A8C"/>
    <w:rsid w:val="002532B2"/>
    <w:rsid w:val="00256E7D"/>
    <w:rsid w:val="00257CCA"/>
    <w:rsid w:val="002600F4"/>
    <w:rsid w:val="00262C4A"/>
    <w:rsid w:val="0026332F"/>
    <w:rsid w:val="00264F07"/>
    <w:rsid w:val="002657AC"/>
    <w:rsid w:val="00270283"/>
    <w:rsid w:val="0027232D"/>
    <w:rsid w:val="00274CB0"/>
    <w:rsid w:val="00275335"/>
    <w:rsid w:val="002933B5"/>
    <w:rsid w:val="0029382D"/>
    <w:rsid w:val="00293EE9"/>
    <w:rsid w:val="002945F9"/>
    <w:rsid w:val="00295F41"/>
    <w:rsid w:val="00297090"/>
    <w:rsid w:val="002972E5"/>
    <w:rsid w:val="002A0E24"/>
    <w:rsid w:val="002A1F22"/>
    <w:rsid w:val="002A26D1"/>
    <w:rsid w:val="002A4FC3"/>
    <w:rsid w:val="002A5D74"/>
    <w:rsid w:val="002B219F"/>
    <w:rsid w:val="002B27EB"/>
    <w:rsid w:val="002B3E9E"/>
    <w:rsid w:val="002B510F"/>
    <w:rsid w:val="002B58BD"/>
    <w:rsid w:val="002B58FB"/>
    <w:rsid w:val="002B6A8F"/>
    <w:rsid w:val="002C0CF0"/>
    <w:rsid w:val="002C0F55"/>
    <w:rsid w:val="002C21E8"/>
    <w:rsid w:val="002C4512"/>
    <w:rsid w:val="002C5198"/>
    <w:rsid w:val="002C6898"/>
    <w:rsid w:val="002D0573"/>
    <w:rsid w:val="002D23FC"/>
    <w:rsid w:val="002D3D1C"/>
    <w:rsid w:val="002D5CE6"/>
    <w:rsid w:val="002E0C47"/>
    <w:rsid w:val="002E3DF4"/>
    <w:rsid w:val="002F0A30"/>
    <w:rsid w:val="002F1675"/>
    <w:rsid w:val="002F21DD"/>
    <w:rsid w:val="002F370E"/>
    <w:rsid w:val="002F4661"/>
    <w:rsid w:val="002F5FEB"/>
    <w:rsid w:val="002F6502"/>
    <w:rsid w:val="003006BD"/>
    <w:rsid w:val="0030075C"/>
    <w:rsid w:val="003008B6"/>
    <w:rsid w:val="00303E8A"/>
    <w:rsid w:val="00305F1D"/>
    <w:rsid w:val="003136E6"/>
    <w:rsid w:val="003162FC"/>
    <w:rsid w:val="00323127"/>
    <w:rsid w:val="0032363C"/>
    <w:rsid w:val="003303BF"/>
    <w:rsid w:val="00333310"/>
    <w:rsid w:val="00337056"/>
    <w:rsid w:val="00346E40"/>
    <w:rsid w:val="00352D8D"/>
    <w:rsid w:val="003535CA"/>
    <w:rsid w:val="003537EF"/>
    <w:rsid w:val="0035419E"/>
    <w:rsid w:val="0036309F"/>
    <w:rsid w:val="0036332D"/>
    <w:rsid w:val="003667A6"/>
    <w:rsid w:val="0036748D"/>
    <w:rsid w:val="00367962"/>
    <w:rsid w:val="00370CC6"/>
    <w:rsid w:val="003711EF"/>
    <w:rsid w:val="00371E4A"/>
    <w:rsid w:val="00372AE6"/>
    <w:rsid w:val="00373DB4"/>
    <w:rsid w:val="00374B64"/>
    <w:rsid w:val="00377AD8"/>
    <w:rsid w:val="003806FD"/>
    <w:rsid w:val="00391EFA"/>
    <w:rsid w:val="00392058"/>
    <w:rsid w:val="00394A5A"/>
    <w:rsid w:val="00395A32"/>
    <w:rsid w:val="00395B69"/>
    <w:rsid w:val="003979A5"/>
    <w:rsid w:val="00397D76"/>
    <w:rsid w:val="003A3244"/>
    <w:rsid w:val="003A4DE8"/>
    <w:rsid w:val="003A53CE"/>
    <w:rsid w:val="003A5B32"/>
    <w:rsid w:val="003B18E7"/>
    <w:rsid w:val="003B19B8"/>
    <w:rsid w:val="003B35E9"/>
    <w:rsid w:val="003C015D"/>
    <w:rsid w:val="003C0F76"/>
    <w:rsid w:val="003C2EF1"/>
    <w:rsid w:val="003C5166"/>
    <w:rsid w:val="003C53C1"/>
    <w:rsid w:val="003D5C00"/>
    <w:rsid w:val="003E28AD"/>
    <w:rsid w:val="003E5CE5"/>
    <w:rsid w:val="003E6899"/>
    <w:rsid w:val="003F0C19"/>
    <w:rsid w:val="003F4C85"/>
    <w:rsid w:val="003F532C"/>
    <w:rsid w:val="0040145A"/>
    <w:rsid w:val="00401655"/>
    <w:rsid w:val="00403683"/>
    <w:rsid w:val="00404FEA"/>
    <w:rsid w:val="0040561A"/>
    <w:rsid w:val="00405961"/>
    <w:rsid w:val="004124C7"/>
    <w:rsid w:val="0041543F"/>
    <w:rsid w:val="00416474"/>
    <w:rsid w:val="00416E7D"/>
    <w:rsid w:val="0042012B"/>
    <w:rsid w:val="00430ECF"/>
    <w:rsid w:val="004325A8"/>
    <w:rsid w:val="00433152"/>
    <w:rsid w:val="00435ABD"/>
    <w:rsid w:val="00437C45"/>
    <w:rsid w:val="00441C62"/>
    <w:rsid w:val="0044499E"/>
    <w:rsid w:val="00446F8E"/>
    <w:rsid w:val="00451F0B"/>
    <w:rsid w:val="0045611F"/>
    <w:rsid w:val="00456687"/>
    <w:rsid w:val="00461C00"/>
    <w:rsid w:val="00462485"/>
    <w:rsid w:val="00462947"/>
    <w:rsid w:val="00462E00"/>
    <w:rsid w:val="00464ADB"/>
    <w:rsid w:val="004735AC"/>
    <w:rsid w:val="00474399"/>
    <w:rsid w:val="004763AE"/>
    <w:rsid w:val="004828DE"/>
    <w:rsid w:val="004863D8"/>
    <w:rsid w:val="0048794E"/>
    <w:rsid w:val="00492E2C"/>
    <w:rsid w:val="00492F55"/>
    <w:rsid w:val="00496519"/>
    <w:rsid w:val="00496BD9"/>
    <w:rsid w:val="0049708B"/>
    <w:rsid w:val="004A0202"/>
    <w:rsid w:val="004A172A"/>
    <w:rsid w:val="004A4B44"/>
    <w:rsid w:val="004A5221"/>
    <w:rsid w:val="004A6ED3"/>
    <w:rsid w:val="004A7685"/>
    <w:rsid w:val="004B1A4D"/>
    <w:rsid w:val="004B34F7"/>
    <w:rsid w:val="004B4C86"/>
    <w:rsid w:val="004B5F76"/>
    <w:rsid w:val="004B65A5"/>
    <w:rsid w:val="004B6851"/>
    <w:rsid w:val="004B7321"/>
    <w:rsid w:val="004C034C"/>
    <w:rsid w:val="004C0C6D"/>
    <w:rsid w:val="004C2374"/>
    <w:rsid w:val="004C4077"/>
    <w:rsid w:val="004C7FEB"/>
    <w:rsid w:val="004D06F5"/>
    <w:rsid w:val="004D5204"/>
    <w:rsid w:val="004E1906"/>
    <w:rsid w:val="004E2EF3"/>
    <w:rsid w:val="004F0605"/>
    <w:rsid w:val="00503EB9"/>
    <w:rsid w:val="00504FC4"/>
    <w:rsid w:val="00507400"/>
    <w:rsid w:val="0051497A"/>
    <w:rsid w:val="00516080"/>
    <w:rsid w:val="00516DE5"/>
    <w:rsid w:val="00522A45"/>
    <w:rsid w:val="00526E0C"/>
    <w:rsid w:val="00534E8A"/>
    <w:rsid w:val="0053675A"/>
    <w:rsid w:val="005442C3"/>
    <w:rsid w:val="00544935"/>
    <w:rsid w:val="00544E8D"/>
    <w:rsid w:val="0054565C"/>
    <w:rsid w:val="005477C6"/>
    <w:rsid w:val="00547FB6"/>
    <w:rsid w:val="005507F5"/>
    <w:rsid w:val="00551795"/>
    <w:rsid w:val="005534ED"/>
    <w:rsid w:val="00554ED1"/>
    <w:rsid w:val="00555899"/>
    <w:rsid w:val="00561627"/>
    <w:rsid w:val="0056185F"/>
    <w:rsid w:val="00562109"/>
    <w:rsid w:val="00562281"/>
    <w:rsid w:val="00563ED7"/>
    <w:rsid w:val="00571636"/>
    <w:rsid w:val="00572475"/>
    <w:rsid w:val="005759AF"/>
    <w:rsid w:val="005771DD"/>
    <w:rsid w:val="00577EE0"/>
    <w:rsid w:val="00580B29"/>
    <w:rsid w:val="005875FB"/>
    <w:rsid w:val="00591B67"/>
    <w:rsid w:val="0059279E"/>
    <w:rsid w:val="0059552A"/>
    <w:rsid w:val="005A28F0"/>
    <w:rsid w:val="005A3C13"/>
    <w:rsid w:val="005A3FC6"/>
    <w:rsid w:val="005B032B"/>
    <w:rsid w:val="005B2F16"/>
    <w:rsid w:val="005B5692"/>
    <w:rsid w:val="005B6A68"/>
    <w:rsid w:val="005B6A7C"/>
    <w:rsid w:val="005C0F5E"/>
    <w:rsid w:val="005C1B87"/>
    <w:rsid w:val="005C4133"/>
    <w:rsid w:val="005C4264"/>
    <w:rsid w:val="005C44F2"/>
    <w:rsid w:val="005C6726"/>
    <w:rsid w:val="005C71A7"/>
    <w:rsid w:val="005D5A3E"/>
    <w:rsid w:val="005D7BB4"/>
    <w:rsid w:val="005E0EF3"/>
    <w:rsid w:val="005E18DF"/>
    <w:rsid w:val="005E69CB"/>
    <w:rsid w:val="005F003E"/>
    <w:rsid w:val="005F1FCE"/>
    <w:rsid w:val="005F2EF3"/>
    <w:rsid w:val="005F3835"/>
    <w:rsid w:val="005F3E39"/>
    <w:rsid w:val="005F6949"/>
    <w:rsid w:val="00601670"/>
    <w:rsid w:val="00602FA0"/>
    <w:rsid w:val="006036FA"/>
    <w:rsid w:val="00610FAA"/>
    <w:rsid w:val="006139DC"/>
    <w:rsid w:val="0061725F"/>
    <w:rsid w:val="00623662"/>
    <w:rsid w:val="00624239"/>
    <w:rsid w:val="00624BF2"/>
    <w:rsid w:val="00625214"/>
    <w:rsid w:val="0062560B"/>
    <w:rsid w:val="00627980"/>
    <w:rsid w:val="00632634"/>
    <w:rsid w:val="006350CE"/>
    <w:rsid w:val="00636BDC"/>
    <w:rsid w:val="00641D59"/>
    <w:rsid w:val="00644C5B"/>
    <w:rsid w:val="00644CAD"/>
    <w:rsid w:val="00650879"/>
    <w:rsid w:val="006519C4"/>
    <w:rsid w:val="00652814"/>
    <w:rsid w:val="00652974"/>
    <w:rsid w:val="00654FFE"/>
    <w:rsid w:val="0065514B"/>
    <w:rsid w:val="006562B6"/>
    <w:rsid w:val="006569D9"/>
    <w:rsid w:val="00661892"/>
    <w:rsid w:val="0066230A"/>
    <w:rsid w:val="00664FFA"/>
    <w:rsid w:val="00666665"/>
    <w:rsid w:val="0066695C"/>
    <w:rsid w:val="00671C7E"/>
    <w:rsid w:val="00672CCA"/>
    <w:rsid w:val="006763CF"/>
    <w:rsid w:val="006905BE"/>
    <w:rsid w:val="00691425"/>
    <w:rsid w:val="006928CC"/>
    <w:rsid w:val="00694EFB"/>
    <w:rsid w:val="006958B0"/>
    <w:rsid w:val="00696080"/>
    <w:rsid w:val="006A02E0"/>
    <w:rsid w:val="006A0CD4"/>
    <w:rsid w:val="006A0F20"/>
    <w:rsid w:val="006A0F62"/>
    <w:rsid w:val="006A0FDD"/>
    <w:rsid w:val="006B01A3"/>
    <w:rsid w:val="006B0FEC"/>
    <w:rsid w:val="006B1BEA"/>
    <w:rsid w:val="006B1ED1"/>
    <w:rsid w:val="006B225F"/>
    <w:rsid w:val="006B3016"/>
    <w:rsid w:val="006B39CF"/>
    <w:rsid w:val="006B52BC"/>
    <w:rsid w:val="006B64B4"/>
    <w:rsid w:val="006B6EAA"/>
    <w:rsid w:val="006B71A1"/>
    <w:rsid w:val="006C1AD0"/>
    <w:rsid w:val="006C2155"/>
    <w:rsid w:val="006D1602"/>
    <w:rsid w:val="006D446F"/>
    <w:rsid w:val="006D7AAE"/>
    <w:rsid w:val="006E04BC"/>
    <w:rsid w:val="006E13E9"/>
    <w:rsid w:val="006E4EA2"/>
    <w:rsid w:val="006E58CA"/>
    <w:rsid w:val="006F1833"/>
    <w:rsid w:val="006F4ACB"/>
    <w:rsid w:val="00701BE2"/>
    <w:rsid w:val="00701CE1"/>
    <w:rsid w:val="007032DC"/>
    <w:rsid w:val="007035D4"/>
    <w:rsid w:val="00705E87"/>
    <w:rsid w:val="00706CC6"/>
    <w:rsid w:val="007070DF"/>
    <w:rsid w:val="007073F3"/>
    <w:rsid w:val="007100CB"/>
    <w:rsid w:val="00713196"/>
    <w:rsid w:val="00713453"/>
    <w:rsid w:val="00725048"/>
    <w:rsid w:val="00726C7D"/>
    <w:rsid w:val="00733D40"/>
    <w:rsid w:val="00744884"/>
    <w:rsid w:val="00745AC0"/>
    <w:rsid w:val="00751007"/>
    <w:rsid w:val="00751FCE"/>
    <w:rsid w:val="00757193"/>
    <w:rsid w:val="007617E4"/>
    <w:rsid w:val="0076184C"/>
    <w:rsid w:val="00762E96"/>
    <w:rsid w:val="00763D2F"/>
    <w:rsid w:val="0077055C"/>
    <w:rsid w:val="007717EA"/>
    <w:rsid w:val="00774540"/>
    <w:rsid w:val="00780469"/>
    <w:rsid w:val="00780806"/>
    <w:rsid w:val="00785E36"/>
    <w:rsid w:val="0079484D"/>
    <w:rsid w:val="00795C4A"/>
    <w:rsid w:val="00795F74"/>
    <w:rsid w:val="0079613F"/>
    <w:rsid w:val="007961A3"/>
    <w:rsid w:val="007A29DC"/>
    <w:rsid w:val="007A466B"/>
    <w:rsid w:val="007A5655"/>
    <w:rsid w:val="007B024E"/>
    <w:rsid w:val="007B2B8A"/>
    <w:rsid w:val="007B3307"/>
    <w:rsid w:val="007B3678"/>
    <w:rsid w:val="007B42D1"/>
    <w:rsid w:val="007B6B8F"/>
    <w:rsid w:val="007C28B9"/>
    <w:rsid w:val="007C2CF8"/>
    <w:rsid w:val="007C4FAD"/>
    <w:rsid w:val="007D03DA"/>
    <w:rsid w:val="007D1DCF"/>
    <w:rsid w:val="007E6E8B"/>
    <w:rsid w:val="007F0231"/>
    <w:rsid w:val="007F0F56"/>
    <w:rsid w:val="007F2195"/>
    <w:rsid w:val="007F354A"/>
    <w:rsid w:val="007F5B39"/>
    <w:rsid w:val="007F5CC1"/>
    <w:rsid w:val="007F60FA"/>
    <w:rsid w:val="007F6D0C"/>
    <w:rsid w:val="008146C3"/>
    <w:rsid w:val="00815F17"/>
    <w:rsid w:val="0081631B"/>
    <w:rsid w:val="00817A9B"/>
    <w:rsid w:val="00821074"/>
    <w:rsid w:val="008225C0"/>
    <w:rsid w:val="00831841"/>
    <w:rsid w:val="00833C00"/>
    <w:rsid w:val="008413A7"/>
    <w:rsid w:val="0084192B"/>
    <w:rsid w:val="00843E87"/>
    <w:rsid w:val="00846D89"/>
    <w:rsid w:val="00852761"/>
    <w:rsid w:val="008550E8"/>
    <w:rsid w:val="00860981"/>
    <w:rsid w:val="00860EEF"/>
    <w:rsid w:val="0086168B"/>
    <w:rsid w:val="00872411"/>
    <w:rsid w:val="00880124"/>
    <w:rsid w:val="008814C8"/>
    <w:rsid w:val="00882EAB"/>
    <w:rsid w:val="008849B4"/>
    <w:rsid w:val="00890C49"/>
    <w:rsid w:val="00894E60"/>
    <w:rsid w:val="008A5C36"/>
    <w:rsid w:val="008A72EC"/>
    <w:rsid w:val="008B452C"/>
    <w:rsid w:val="008C0A25"/>
    <w:rsid w:val="008C0C97"/>
    <w:rsid w:val="008C32C6"/>
    <w:rsid w:val="008C3C52"/>
    <w:rsid w:val="008C4AFD"/>
    <w:rsid w:val="008D0D3D"/>
    <w:rsid w:val="008D1048"/>
    <w:rsid w:val="008D34A7"/>
    <w:rsid w:val="008D39CD"/>
    <w:rsid w:val="008D77D6"/>
    <w:rsid w:val="008E0F92"/>
    <w:rsid w:val="008E60DB"/>
    <w:rsid w:val="008E6117"/>
    <w:rsid w:val="008E7AB0"/>
    <w:rsid w:val="008F0A40"/>
    <w:rsid w:val="008F1EC0"/>
    <w:rsid w:val="008F58BE"/>
    <w:rsid w:val="008F72F4"/>
    <w:rsid w:val="009002BF"/>
    <w:rsid w:val="009112FD"/>
    <w:rsid w:val="0092059C"/>
    <w:rsid w:val="00922BE6"/>
    <w:rsid w:val="0092305B"/>
    <w:rsid w:val="009234BA"/>
    <w:rsid w:val="009243F4"/>
    <w:rsid w:val="00924987"/>
    <w:rsid w:val="00924F22"/>
    <w:rsid w:val="0093240D"/>
    <w:rsid w:val="00934978"/>
    <w:rsid w:val="009420E3"/>
    <w:rsid w:val="0094510A"/>
    <w:rsid w:val="0094662E"/>
    <w:rsid w:val="00946D1C"/>
    <w:rsid w:val="00951078"/>
    <w:rsid w:val="009552E6"/>
    <w:rsid w:val="00962705"/>
    <w:rsid w:val="009630EA"/>
    <w:rsid w:val="009730D3"/>
    <w:rsid w:val="00976319"/>
    <w:rsid w:val="00981F2C"/>
    <w:rsid w:val="00987CA4"/>
    <w:rsid w:val="009946A1"/>
    <w:rsid w:val="00995680"/>
    <w:rsid w:val="009956DF"/>
    <w:rsid w:val="009A006C"/>
    <w:rsid w:val="009A090B"/>
    <w:rsid w:val="009A091A"/>
    <w:rsid w:val="009A187E"/>
    <w:rsid w:val="009A60FB"/>
    <w:rsid w:val="009B0D5F"/>
    <w:rsid w:val="009B29B6"/>
    <w:rsid w:val="009B4665"/>
    <w:rsid w:val="009B58A0"/>
    <w:rsid w:val="009C29ED"/>
    <w:rsid w:val="009C76AE"/>
    <w:rsid w:val="009D300C"/>
    <w:rsid w:val="009D3855"/>
    <w:rsid w:val="009D4800"/>
    <w:rsid w:val="009D49ED"/>
    <w:rsid w:val="009E05AF"/>
    <w:rsid w:val="009E0B32"/>
    <w:rsid w:val="009E0FD9"/>
    <w:rsid w:val="009E445E"/>
    <w:rsid w:val="009E5291"/>
    <w:rsid w:val="009E6FF3"/>
    <w:rsid w:val="009F08C1"/>
    <w:rsid w:val="009F30F4"/>
    <w:rsid w:val="009F3B07"/>
    <w:rsid w:val="009F4E8C"/>
    <w:rsid w:val="009F66DF"/>
    <w:rsid w:val="009F774B"/>
    <w:rsid w:val="00A001D3"/>
    <w:rsid w:val="00A004CD"/>
    <w:rsid w:val="00A00B86"/>
    <w:rsid w:val="00A04C2E"/>
    <w:rsid w:val="00A10BEF"/>
    <w:rsid w:val="00A11C27"/>
    <w:rsid w:val="00A11DB3"/>
    <w:rsid w:val="00A122F2"/>
    <w:rsid w:val="00A13525"/>
    <w:rsid w:val="00A135DD"/>
    <w:rsid w:val="00A14FE4"/>
    <w:rsid w:val="00A23939"/>
    <w:rsid w:val="00A23ACC"/>
    <w:rsid w:val="00A25EAC"/>
    <w:rsid w:val="00A3055F"/>
    <w:rsid w:val="00A31535"/>
    <w:rsid w:val="00A37267"/>
    <w:rsid w:val="00A427B6"/>
    <w:rsid w:val="00A43B78"/>
    <w:rsid w:val="00A46B7E"/>
    <w:rsid w:val="00A471FA"/>
    <w:rsid w:val="00A50EBC"/>
    <w:rsid w:val="00A57A20"/>
    <w:rsid w:val="00A624BB"/>
    <w:rsid w:val="00A65BDE"/>
    <w:rsid w:val="00A66E03"/>
    <w:rsid w:val="00A67B37"/>
    <w:rsid w:val="00A73355"/>
    <w:rsid w:val="00A84F72"/>
    <w:rsid w:val="00A858D1"/>
    <w:rsid w:val="00A9024F"/>
    <w:rsid w:val="00A91B6F"/>
    <w:rsid w:val="00A92EA0"/>
    <w:rsid w:val="00A9482D"/>
    <w:rsid w:val="00AA3415"/>
    <w:rsid w:val="00AB0BFE"/>
    <w:rsid w:val="00AB52B3"/>
    <w:rsid w:val="00AB65DB"/>
    <w:rsid w:val="00AC2F34"/>
    <w:rsid w:val="00AC389E"/>
    <w:rsid w:val="00AC4442"/>
    <w:rsid w:val="00AC6D93"/>
    <w:rsid w:val="00AE7E3A"/>
    <w:rsid w:val="00AF3188"/>
    <w:rsid w:val="00AF5B75"/>
    <w:rsid w:val="00B021A0"/>
    <w:rsid w:val="00B02890"/>
    <w:rsid w:val="00B02FD9"/>
    <w:rsid w:val="00B055C0"/>
    <w:rsid w:val="00B10D0F"/>
    <w:rsid w:val="00B11749"/>
    <w:rsid w:val="00B14E47"/>
    <w:rsid w:val="00B15918"/>
    <w:rsid w:val="00B15FFF"/>
    <w:rsid w:val="00B22AE4"/>
    <w:rsid w:val="00B22E4E"/>
    <w:rsid w:val="00B22EFA"/>
    <w:rsid w:val="00B23C1E"/>
    <w:rsid w:val="00B24E4B"/>
    <w:rsid w:val="00B254AA"/>
    <w:rsid w:val="00B32952"/>
    <w:rsid w:val="00B33552"/>
    <w:rsid w:val="00B37B83"/>
    <w:rsid w:val="00B37BCF"/>
    <w:rsid w:val="00B37F50"/>
    <w:rsid w:val="00B41559"/>
    <w:rsid w:val="00B42068"/>
    <w:rsid w:val="00B43347"/>
    <w:rsid w:val="00B46B8F"/>
    <w:rsid w:val="00B510DD"/>
    <w:rsid w:val="00B51BE3"/>
    <w:rsid w:val="00B52727"/>
    <w:rsid w:val="00B529E7"/>
    <w:rsid w:val="00B52C20"/>
    <w:rsid w:val="00B53EC7"/>
    <w:rsid w:val="00B546F3"/>
    <w:rsid w:val="00B5537C"/>
    <w:rsid w:val="00B62F2E"/>
    <w:rsid w:val="00B660E4"/>
    <w:rsid w:val="00B66BFD"/>
    <w:rsid w:val="00B7074F"/>
    <w:rsid w:val="00B714EE"/>
    <w:rsid w:val="00B714FE"/>
    <w:rsid w:val="00B71BAD"/>
    <w:rsid w:val="00B7507D"/>
    <w:rsid w:val="00B75599"/>
    <w:rsid w:val="00B7609C"/>
    <w:rsid w:val="00B802FB"/>
    <w:rsid w:val="00B85EF9"/>
    <w:rsid w:val="00B9131E"/>
    <w:rsid w:val="00B9307A"/>
    <w:rsid w:val="00BA0DAF"/>
    <w:rsid w:val="00BA6917"/>
    <w:rsid w:val="00BB112E"/>
    <w:rsid w:val="00BB1ADD"/>
    <w:rsid w:val="00BB2278"/>
    <w:rsid w:val="00BB2761"/>
    <w:rsid w:val="00BB70D2"/>
    <w:rsid w:val="00BB7A2E"/>
    <w:rsid w:val="00BC24E9"/>
    <w:rsid w:val="00BD0602"/>
    <w:rsid w:val="00BD2D96"/>
    <w:rsid w:val="00BD3618"/>
    <w:rsid w:val="00BD6062"/>
    <w:rsid w:val="00BE0125"/>
    <w:rsid w:val="00BE5844"/>
    <w:rsid w:val="00BF430F"/>
    <w:rsid w:val="00BF66EE"/>
    <w:rsid w:val="00C0449A"/>
    <w:rsid w:val="00C04CA0"/>
    <w:rsid w:val="00C073AE"/>
    <w:rsid w:val="00C07B7E"/>
    <w:rsid w:val="00C138D0"/>
    <w:rsid w:val="00C14FAC"/>
    <w:rsid w:val="00C16B31"/>
    <w:rsid w:val="00C16CBB"/>
    <w:rsid w:val="00C16E7B"/>
    <w:rsid w:val="00C23BB0"/>
    <w:rsid w:val="00C24C64"/>
    <w:rsid w:val="00C33408"/>
    <w:rsid w:val="00C37763"/>
    <w:rsid w:val="00C42777"/>
    <w:rsid w:val="00C439EF"/>
    <w:rsid w:val="00C46ED3"/>
    <w:rsid w:val="00C5388A"/>
    <w:rsid w:val="00C53961"/>
    <w:rsid w:val="00C54B4E"/>
    <w:rsid w:val="00C5525B"/>
    <w:rsid w:val="00C5714D"/>
    <w:rsid w:val="00C579CC"/>
    <w:rsid w:val="00C60E22"/>
    <w:rsid w:val="00C62416"/>
    <w:rsid w:val="00C634A4"/>
    <w:rsid w:val="00C64440"/>
    <w:rsid w:val="00C64638"/>
    <w:rsid w:val="00C65F45"/>
    <w:rsid w:val="00C662D6"/>
    <w:rsid w:val="00C673CB"/>
    <w:rsid w:val="00C70A82"/>
    <w:rsid w:val="00C743A8"/>
    <w:rsid w:val="00C7591F"/>
    <w:rsid w:val="00C81F91"/>
    <w:rsid w:val="00C82547"/>
    <w:rsid w:val="00C832F1"/>
    <w:rsid w:val="00C85491"/>
    <w:rsid w:val="00C85CF5"/>
    <w:rsid w:val="00C875AB"/>
    <w:rsid w:val="00C91206"/>
    <w:rsid w:val="00C91F30"/>
    <w:rsid w:val="00C93958"/>
    <w:rsid w:val="00CA0DFA"/>
    <w:rsid w:val="00CA2188"/>
    <w:rsid w:val="00CA329A"/>
    <w:rsid w:val="00CA4982"/>
    <w:rsid w:val="00CA5210"/>
    <w:rsid w:val="00CA658C"/>
    <w:rsid w:val="00CA70D8"/>
    <w:rsid w:val="00CA7F14"/>
    <w:rsid w:val="00CB0C0B"/>
    <w:rsid w:val="00CB1EE6"/>
    <w:rsid w:val="00CB5228"/>
    <w:rsid w:val="00CB5437"/>
    <w:rsid w:val="00CB579C"/>
    <w:rsid w:val="00CB6124"/>
    <w:rsid w:val="00CB7621"/>
    <w:rsid w:val="00CC2ECF"/>
    <w:rsid w:val="00CD5B9D"/>
    <w:rsid w:val="00CD65D4"/>
    <w:rsid w:val="00CE69F5"/>
    <w:rsid w:val="00D01D44"/>
    <w:rsid w:val="00D02426"/>
    <w:rsid w:val="00D106A9"/>
    <w:rsid w:val="00D128D8"/>
    <w:rsid w:val="00D1489F"/>
    <w:rsid w:val="00D20F50"/>
    <w:rsid w:val="00D2300F"/>
    <w:rsid w:val="00D24CEA"/>
    <w:rsid w:val="00D26F67"/>
    <w:rsid w:val="00D32DEE"/>
    <w:rsid w:val="00D3367F"/>
    <w:rsid w:val="00D33B55"/>
    <w:rsid w:val="00D3402A"/>
    <w:rsid w:val="00D361BA"/>
    <w:rsid w:val="00D41134"/>
    <w:rsid w:val="00D419DB"/>
    <w:rsid w:val="00D44A6E"/>
    <w:rsid w:val="00D45FEE"/>
    <w:rsid w:val="00D52173"/>
    <w:rsid w:val="00D53F17"/>
    <w:rsid w:val="00D5410D"/>
    <w:rsid w:val="00D6212A"/>
    <w:rsid w:val="00D628A4"/>
    <w:rsid w:val="00D6783C"/>
    <w:rsid w:val="00D76150"/>
    <w:rsid w:val="00D77CEE"/>
    <w:rsid w:val="00D82FD8"/>
    <w:rsid w:val="00D84813"/>
    <w:rsid w:val="00D90A73"/>
    <w:rsid w:val="00D90D43"/>
    <w:rsid w:val="00D913A8"/>
    <w:rsid w:val="00D957B8"/>
    <w:rsid w:val="00DA4113"/>
    <w:rsid w:val="00DB5A1F"/>
    <w:rsid w:val="00DB6D03"/>
    <w:rsid w:val="00DC0C69"/>
    <w:rsid w:val="00DC3288"/>
    <w:rsid w:val="00DC55BE"/>
    <w:rsid w:val="00DC5830"/>
    <w:rsid w:val="00DC5F6B"/>
    <w:rsid w:val="00DD1504"/>
    <w:rsid w:val="00DD1A47"/>
    <w:rsid w:val="00DD355D"/>
    <w:rsid w:val="00DD6218"/>
    <w:rsid w:val="00DE10F9"/>
    <w:rsid w:val="00DE23EE"/>
    <w:rsid w:val="00DE2790"/>
    <w:rsid w:val="00DF0C45"/>
    <w:rsid w:val="00DF1673"/>
    <w:rsid w:val="00DF231F"/>
    <w:rsid w:val="00E00664"/>
    <w:rsid w:val="00E01BAE"/>
    <w:rsid w:val="00E10F58"/>
    <w:rsid w:val="00E11A12"/>
    <w:rsid w:val="00E12AE2"/>
    <w:rsid w:val="00E139CC"/>
    <w:rsid w:val="00E20424"/>
    <w:rsid w:val="00E24ABF"/>
    <w:rsid w:val="00E26289"/>
    <w:rsid w:val="00E276C6"/>
    <w:rsid w:val="00E32C05"/>
    <w:rsid w:val="00E37954"/>
    <w:rsid w:val="00E37DB6"/>
    <w:rsid w:val="00E411CC"/>
    <w:rsid w:val="00E47A85"/>
    <w:rsid w:val="00E505D2"/>
    <w:rsid w:val="00E50A61"/>
    <w:rsid w:val="00E536C0"/>
    <w:rsid w:val="00E540C4"/>
    <w:rsid w:val="00E55138"/>
    <w:rsid w:val="00E6214F"/>
    <w:rsid w:val="00E62DF8"/>
    <w:rsid w:val="00E62EB3"/>
    <w:rsid w:val="00E66C54"/>
    <w:rsid w:val="00E67D7B"/>
    <w:rsid w:val="00E72FE0"/>
    <w:rsid w:val="00E74FB3"/>
    <w:rsid w:val="00E751AD"/>
    <w:rsid w:val="00E77A46"/>
    <w:rsid w:val="00E81328"/>
    <w:rsid w:val="00E825F9"/>
    <w:rsid w:val="00E86479"/>
    <w:rsid w:val="00E86A0F"/>
    <w:rsid w:val="00EA1F84"/>
    <w:rsid w:val="00EA3953"/>
    <w:rsid w:val="00EA49B0"/>
    <w:rsid w:val="00EA4A56"/>
    <w:rsid w:val="00EA4F58"/>
    <w:rsid w:val="00EA57D6"/>
    <w:rsid w:val="00EA7F5F"/>
    <w:rsid w:val="00EB1B3A"/>
    <w:rsid w:val="00EB27A2"/>
    <w:rsid w:val="00EB61A7"/>
    <w:rsid w:val="00EB7CAA"/>
    <w:rsid w:val="00EC0349"/>
    <w:rsid w:val="00EC158E"/>
    <w:rsid w:val="00EC2F73"/>
    <w:rsid w:val="00EC42A6"/>
    <w:rsid w:val="00EC6AD5"/>
    <w:rsid w:val="00EE1EA1"/>
    <w:rsid w:val="00EE4938"/>
    <w:rsid w:val="00EF12A9"/>
    <w:rsid w:val="00EF2160"/>
    <w:rsid w:val="00F00DF2"/>
    <w:rsid w:val="00F0300B"/>
    <w:rsid w:val="00F03729"/>
    <w:rsid w:val="00F04F70"/>
    <w:rsid w:val="00F0746B"/>
    <w:rsid w:val="00F1207B"/>
    <w:rsid w:val="00F25618"/>
    <w:rsid w:val="00F31FD1"/>
    <w:rsid w:val="00F36400"/>
    <w:rsid w:val="00F36AC0"/>
    <w:rsid w:val="00F438DE"/>
    <w:rsid w:val="00F44A0E"/>
    <w:rsid w:val="00F45B13"/>
    <w:rsid w:val="00F5369B"/>
    <w:rsid w:val="00F54D78"/>
    <w:rsid w:val="00F55FFC"/>
    <w:rsid w:val="00F57B07"/>
    <w:rsid w:val="00F61E5C"/>
    <w:rsid w:val="00F64382"/>
    <w:rsid w:val="00F66F62"/>
    <w:rsid w:val="00F74F8B"/>
    <w:rsid w:val="00F76C48"/>
    <w:rsid w:val="00F775A5"/>
    <w:rsid w:val="00F81EA5"/>
    <w:rsid w:val="00F837B0"/>
    <w:rsid w:val="00F90275"/>
    <w:rsid w:val="00F932EF"/>
    <w:rsid w:val="00F948DC"/>
    <w:rsid w:val="00F97E23"/>
    <w:rsid w:val="00FA07EF"/>
    <w:rsid w:val="00FA19F5"/>
    <w:rsid w:val="00FA2ED5"/>
    <w:rsid w:val="00FA4FB4"/>
    <w:rsid w:val="00FA6975"/>
    <w:rsid w:val="00FB08D5"/>
    <w:rsid w:val="00FB261E"/>
    <w:rsid w:val="00FC0DBE"/>
    <w:rsid w:val="00FC204E"/>
    <w:rsid w:val="00FC22DD"/>
    <w:rsid w:val="00FC3B88"/>
    <w:rsid w:val="00FC4464"/>
    <w:rsid w:val="00FC5F5D"/>
    <w:rsid w:val="00FC63D5"/>
    <w:rsid w:val="00FC6F43"/>
    <w:rsid w:val="00FC7DCF"/>
    <w:rsid w:val="00FD0B5C"/>
    <w:rsid w:val="00FD1A15"/>
    <w:rsid w:val="00FD2EB3"/>
    <w:rsid w:val="00FD3CA4"/>
    <w:rsid w:val="00FD4014"/>
    <w:rsid w:val="00FE0343"/>
    <w:rsid w:val="00FE11AA"/>
    <w:rsid w:val="00FE5AA4"/>
    <w:rsid w:val="00FE5F52"/>
    <w:rsid w:val="04A15825"/>
    <w:rsid w:val="06326EAE"/>
    <w:rsid w:val="08B677BA"/>
    <w:rsid w:val="09891DB4"/>
    <w:rsid w:val="0B684AC3"/>
    <w:rsid w:val="0C2213A6"/>
    <w:rsid w:val="0F7422EA"/>
    <w:rsid w:val="11CC1164"/>
    <w:rsid w:val="1970740E"/>
    <w:rsid w:val="1CAF7291"/>
    <w:rsid w:val="1E5E34AD"/>
    <w:rsid w:val="1FAC5437"/>
    <w:rsid w:val="20232158"/>
    <w:rsid w:val="2101586D"/>
    <w:rsid w:val="23C00613"/>
    <w:rsid w:val="253F60FA"/>
    <w:rsid w:val="27E062A8"/>
    <w:rsid w:val="28650516"/>
    <w:rsid w:val="2BC1594C"/>
    <w:rsid w:val="2C603761"/>
    <w:rsid w:val="2CF568DD"/>
    <w:rsid w:val="30117B04"/>
    <w:rsid w:val="30A2347A"/>
    <w:rsid w:val="337037AB"/>
    <w:rsid w:val="33867CBA"/>
    <w:rsid w:val="34B61001"/>
    <w:rsid w:val="396E11FB"/>
    <w:rsid w:val="3C4C419C"/>
    <w:rsid w:val="40905299"/>
    <w:rsid w:val="457324F3"/>
    <w:rsid w:val="458D6492"/>
    <w:rsid w:val="47093FC9"/>
    <w:rsid w:val="47C74FF5"/>
    <w:rsid w:val="48EE0E67"/>
    <w:rsid w:val="4D8F6D24"/>
    <w:rsid w:val="4DDF4625"/>
    <w:rsid w:val="50F20BFC"/>
    <w:rsid w:val="5247693B"/>
    <w:rsid w:val="573A7D26"/>
    <w:rsid w:val="59995245"/>
    <w:rsid w:val="5B037D8A"/>
    <w:rsid w:val="5CED2CFB"/>
    <w:rsid w:val="60F26C1A"/>
    <w:rsid w:val="630854D0"/>
    <w:rsid w:val="6577238E"/>
    <w:rsid w:val="689F3A24"/>
    <w:rsid w:val="68B25560"/>
    <w:rsid w:val="692723BA"/>
    <w:rsid w:val="6AA33495"/>
    <w:rsid w:val="6C104C77"/>
    <w:rsid w:val="6E084BD1"/>
    <w:rsid w:val="6EE65365"/>
    <w:rsid w:val="734F4B56"/>
    <w:rsid w:val="7715437B"/>
    <w:rsid w:val="776606BD"/>
    <w:rsid w:val="7B3518B9"/>
    <w:rsid w:val="7BF46120"/>
    <w:rsid w:val="7E78108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3"/>
    <w:unhideWhenUsed/>
    <w:qFormat/>
    <w:uiPriority w:val="99"/>
    <w:pPr>
      <w:jc w:val="left"/>
    </w:pPr>
    <w:rPr>
      <w:kern w:val="0"/>
      <w:sz w:val="20"/>
    </w:rPr>
  </w:style>
  <w:style w:type="paragraph" w:styleId="3">
    <w:name w:val="Balloon Text"/>
    <w:basedOn w:val="1"/>
    <w:link w:val="16"/>
    <w:unhideWhenUsed/>
    <w:qFormat/>
    <w:uiPriority w:val="99"/>
    <w:rPr>
      <w:kern w:val="0"/>
      <w:sz w:val="18"/>
      <w:szCs w:val="18"/>
    </w:rPr>
  </w:style>
  <w:style w:type="paragraph" w:styleId="4">
    <w:name w:val="footer"/>
    <w:basedOn w:val="1"/>
    <w:link w:val="14"/>
    <w:unhideWhenUsed/>
    <w:qFormat/>
    <w:uiPriority w:val="99"/>
    <w:pPr>
      <w:tabs>
        <w:tab w:val="center" w:pos="4153"/>
        <w:tab w:val="right" w:pos="8306"/>
      </w:tabs>
      <w:snapToGrid w:val="0"/>
      <w:jc w:val="left"/>
    </w:pPr>
    <w:rPr>
      <w:rFonts w:ascii="Calibri" w:hAnsi="Calibri"/>
      <w:kern w:val="0"/>
      <w:sz w:val="18"/>
      <w:szCs w:val="18"/>
    </w:rPr>
  </w:style>
  <w:style w:type="paragraph" w:styleId="5">
    <w:name w:val="header"/>
    <w:basedOn w:val="1"/>
    <w:link w:val="15"/>
    <w:unhideWhenUsed/>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6">
    <w:name w:val="Body Text Indent 3"/>
    <w:qFormat/>
    <w:uiPriority w:val="0"/>
    <w:pPr>
      <w:widowControl w:val="0"/>
      <w:ind w:firstLine="200" w:firstLineChars="200"/>
      <w:jc w:val="both"/>
    </w:pPr>
    <w:rPr>
      <w:rFonts w:ascii="Times New Roman" w:hAnsi="Times New Roman" w:eastAsia="宋体" w:cs="Times New Roman"/>
      <w:lang w:val="en-US" w:eastAsia="zh-CN" w:bidi="ar-SA"/>
    </w:rPr>
  </w:style>
  <w:style w:type="paragraph" w:styleId="7">
    <w:name w:val="annotation subject"/>
    <w:basedOn w:val="2"/>
    <w:next w:val="2"/>
    <w:link w:val="12"/>
    <w:unhideWhenUsed/>
    <w:qFormat/>
    <w:uiPriority w:val="99"/>
    <w:rPr>
      <w:b/>
      <w:bCs/>
    </w:rPr>
  </w:style>
  <w:style w:type="character" w:styleId="10">
    <w:name w:val="page number"/>
    <w:basedOn w:val="9"/>
    <w:qFormat/>
    <w:uiPriority w:val="0"/>
  </w:style>
  <w:style w:type="character" w:styleId="11">
    <w:name w:val="annotation reference"/>
    <w:unhideWhenUsed/>
    <w:qFormat/>
    <w:uiPriority w:val="99"/>
    <w:rPr>
      <w:sz w:val="21"/>
      <w:szCs w:val="21"/>
    </w:rPr>
  </w:style>
  <w:style w:type="character" w:customStyle="1" w:styleId="12">
    <w:name w:val="批注主题 Char"/>
    <w:link w:val="7"/>
    <w:qFormat/>
    <w:uiPriority w:val="99"/>
    <w:rPr>
      <w:rFonts w:ascii="Times New Roman" w:hAnsi="Times New Roman"/>
      <w:b/>
      <w:bCs/>
      <w:szCs w:val="24"/>
    </w:rPr>
  </w:style>
  <w:style w:type="character" w:customStyle="1" w:styleId="13">
    <w:name w:val="批注文字 Char"/>
    <w:link w:val="2"/>
    <w:qFormat/>
    <w:uiPriority w:val="99"/>
    <w:rPr>
      <w:rFonts w:ascii="Times New Roman" w:hAnsi="Times New Roman"/>
      <w:szCs w:val="24"/>
    </w:rPr>
  </w:style>
  <w:style w:type="character" w:customStyle="1" w:styleId="14">
    <w:name w:val="页脚 Char"/>
    <w:link w:val="4"/>
    <w:qFormat/>
    <w:uiPriority w:val="99"/>
    <w:rPr>
      <w:sz w:val="18"/>
      <w:szCs w:val="18"/>
    </w:rPr>
  </w:style>
  <w:style w:type="character" w:customStyle="1" w:styleId="15">
    <w:name w:val="页眉 Char"/>
    <w:link w:val="5"/>
    <w:qFormat/>
    <w:uiPriority w:val="99"/>
    <w:rPr>
      <w:sz w:val="18"/>
      <w:szCs w:val="18"/>
    </w:rPr>
  </w:style>
  <w:style w:type="character" w:customStyle="1" w:styleId="16">
    <w:name w:val="批注框文本 Char"/>
    <w:link w:val="3"/>
    <w:qFormat/>
    <w:uiPriority w:val="99"/>
    <w:rPr>
      <w:rFonts w:ascii="Times New Roman" w:hAnsi="Times New Roman"/>
      <w:sz w:val="18"/>
      <w:szCs w:val="18"/>
    </w:rPr>
  </w:style>
  <w:style w:type="paragraph" w:customStyle="1" w:styleId="17">
    <w:name w:val="彩色列表 - 强调文字颜色 11"/>
    <w:basedOn w:val="1"/>
    <w:qFormat/>
    <w:uiPriority w:val="34"/>
    <w:pPr>
      <w:ind w:firstLine="420" w:firstLineChars="200"/>
    </w:pPr>
  </w:style>
  <w:style w:type="paragraph" w:customStyle="1" w:styleId="18">
    <w:name w:val="彩色底纹 - 强调文字颜色 11"/>
    <w:semiHidden/>
    <w:qFormat/>
    <w:uiPriority w:val="99"/>
    <w:rPr>
      <w:rFonts w:ascii="Times New Roman" w:hAnsi="Times New Roman" w:eastAsia="宋体" w:cs="Times New Roman"/>
      <w:kern w:val="2"/>
      <w:sz w:val="21"/>
      <w:szCs w:val="24"/>
      <w:lang w:val="en-US" w:eastAsia="zh-CN" w:bidi="ar-SA"/>
    </w:rPr>
  </w:style>
  <w:style w:type="paragraph" w:styleId="19">
    <w:name w:val="List Paragraph"/>
    <w:basedOn w:val="1"/>
    <w:qFormat/>
    <w:uiPriority w:val="34"/>
    <w:pPr>
      <w:ind w:firstLine="420" w:firstLineChars="200"/>
    </w:pPr>
  </w:style>
  <w:style w:type="paragraph" w:customStyle="1" w:styleId="20">
    <w:name w:val="修订1"/>
    <w:hidden/>
    <w:unhideWhenUsed/>
    <w:qFormat/>
    <w:uiPriority w:val="99"/>
    <w:rPr>
      <w:rFonts w:ascii="Times New Roman" w:hAnsi="Times New Roman" w:eastAsia="宋体" w:cs="Times New Roman"/>
      <w:kern w:val="2"/>
      <w:sz w:val="21"/>
      <w:szCs w:val="24"/>
      <w:lang w:val="en-US" w:eastAsia="zh-CN" w:bidi="ar-SA"/>
    </w:rPr>
  </w:style>
  <w:style w:type="paragraph" w:customStyle="1" w:styleId="21">
    <w:name w:val="Revision"/>
    <w:hidden/>
    <w:semiHidden/>
    <w:qFormat/>
    <w:uiPriority w:val="99"/>
    <w:rPr>
      <w:rFonts w:ascii="Times New Roman" w:hAnsi="Times New Roman" w:eastAsia="宋体" w:cs="Times New Roman"/>
      <w:kern w:val="2"/>
      <w:sz w:val="21"/>
      <w:szCs w:val="24"/>
      <w:lang w:val="en-US" w:eastAsia="zh-CN" w:bidi="ar-SA"/>
    </w:rPr>
  </w:style>
  <w:style w:type="paragraph" w:customStyle="1" w:styleId="22">
    <w:name w:val="_Style 3"/>
    <w:next w:val="6"/>
    <w:qFormat/>
    <w:uiPriority w:val="0"/>
    <w:pPr>
      <w:widowControl w:val="0"/>
      <w:ind w:firstLine="420" w:firstLineChars="20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77B75E-2253-428A-92CA-5A7A8DA41BC3}">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13</Pages>
  <Words>1128</Words>
  <Characters>6435</Characters>
  <Lines>53</Lines>
  <Paragraphs>15</Paragraphs>
  <TotalTime>21</TotalTime>
  <ScaleCrop>false</ScaleCrop>
  <LinksUpToDate>false</LinksUpToDate>
  <CharactersWithSpaces>7548</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2021-03-19T07:43:00Z</dcterms:created>
  <dc:creator>李惠芝</dc:creator>
  <cp:lastModifiedBy>Administrator</cp:lastModifiedBy>
  <cp:lastPrinted>2019-10-25T08:03:00Z</cp:lastPrinted>
  <dcterms:modified xsi:type="dcterms:W3CDTF">2025-06-16T07:26:39Z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BA0B4AA394144433B3EDED81C29B7F79</vt:lpwstr>
  </property>
</Properties>
</file>