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B5EFB">
      <w:pPr>
        <w:ind w:firstLine="3840" w:firstLineChars="1200"/>
        <w:jc w:val="both"/>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p>
    <w:p w14:paraId="3335C9C6">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4D1E5E0">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0C29B4B">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6ECB3F8">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14:paraId="6250588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DE5182F">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3410300">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557212C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37BB403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272862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669558E">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7DD9ADE4">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45127F9F">
      <w:pPr>
        <w:pStyle w:val="13"/>
        <w:adjustRightInd w:val="0"/>
        <w:snapToGrid w:val="0"/>
        <w:spacing w:line="480" w:lineRule="exact"/>
        <w:ind w:firstLine="562" w:firstLineChars="200"/>
        <w:rPr>
          <w:rFonts w:hint="eastAsia" w:ascii="仿宋" w:hAnsi="仿宋" w:eastAsia="仿宋" w:cs="仿宋"/>
          <w:b/>
          <w:bCs/>
          <w:sz w:val="28"/>
          <w:szCs w:val="28"/>
          <w:lang w:val="en-US"/>
        </w:rPr>
      </w:pPr>
    </w:p>
    <w:p w14:paraId="08E961F6">
      <w:pPr>
        <w:pStyle w:val="13"/>
        <w:adjustRightInd w:val="0"/>
        <w:snapToGrid w:val="0"/>
        <w:spacing w:line="480" w:lineRule="exact"/>
        <w:ind w:firstLine="562" w:firstLineChars="200"/>
        <w:rPr>
          <w:rFonts w:hint="eastAsia" w:ascii="仿宋" w:hAnsi="仿宋" w:eastAsia="仿宋" w:cs="仿宋"/>
          <w:b/>
          <w:bCs/>
          <w:sz w:val="28"/>
          <w:szCs w:val="28"/>
          <w:lang w:val="en-US"/>
        </w:rPr>
      </w:pPr>
    </w:p>
    <w:p w14:paraId="2C3DE233">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320D7A32">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2236E2AC">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1E53FCC0">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1340F852">
      <w:pPr>
        <w:pStyle w:val="13"/>
        <w:adjustRightInd w:val="0"/>
        <w:snapToGrid w:val="0"/>
        <w:spacing w:line="480" w:lineRule="exact"/>
        <w:ind w:firstLine="562" w:firstLineChars="200"/>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rPr>
        <w:t>甲方出租</w:t>
      </w:r>
      <w:r>
        <w:rPr>
          <w:rFonts w:hint="eastAsia" w:ascii="仿宋_GB2312" w:hAnsi="仿宋_GB2312" w:eastAsia="仿宋_GB2312" w:cs="仿宋_GB2312"/>
          <w:b/>
          <w:bCs/>
          <w:color w:val="auto"/>
          <w:sz w:val="28"/>
          <w:szCs w:val="28"/>
          <w:lang w:val="en-US" w:eastAsia="zh-CN"/>
        </w:rPr>
        <w:t>方：龙岩龙鑫实业有限公司</w:t>
      </w:r>
    </w:p>
    <w:p w14:paraId="0D2BE0F4">
      <w:pPr>
        <w:pStyle w:val="13"/>
        <w:adjustRightInd w:val="0"/>
        <w:snapToGrid w:val="0"/>
        <w:spacing w:line="480" w:lineRule="exact"/>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rPr>
        <w:t>统一社会信用代码</w:t>
      </w:r>
      <w:r>
        <w:rPr>
          <w:rFonts w:hint="eastAsia" w:ascii="仿宋_GB2312" w:hAnsi="仿宋_GB2312" w:eastAsia="仿宋_GB2312" w:cs="仿宋_GB2312"/>
          <w:color w:val="auto"/>
          <w:sz w:val="28"/>
          <w:szCs w:val="28"/>
          <w:lang w:val="en-US" w:eastAsia="zh-CN"/>
        </w:rPr>
        <w:t>：91350800MA2YG5FE2C</w:t>
      </w:r>
    </w:p>
    <w:p w14:paraId="2AB63B80">
      <w:pPr>
        <w:pStyle w:val="13"/>
        <w:adjustRightInd w:val="0"/>
        <w:snapToGrid w:val="0"/>
        <w:spacing w:line="480" w:lineRule="exact"/>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rPr>
        <w:t>法定代表人</w:t>
      </w:r>
      <w:r>
        <w:rPr>
          <w:rFonts w:hint="eastAsia" w:ascii="仿宋_GB2312" w:hAnsi="仿宋_GB2312" w:eastAsia="仿宋_GB2312" w:cs="仿宋_GB2312"/>
          <w:color w:val="auto"/>
          <w:sz w:val="28"/>
          <w:szCs w:val="28"/>
          <w:lang w:val="en-US" w:eastAsia="zh-CN"/>
        </w:rPr>
        <w:t>：华林峰</w:t>
      </w:r>
    </w:p>
    <w:p w14:paraId="62D872D9">
      <w:pPr>
        <w:pStyle w:val="13"/>
        <w:adjustRightInd w:val="0"/>
        <w:snapToGrid w:val="0"/>
        <w:spacing w:line="480" w:lineRule="exact"/>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rPr>
        <w:t>住所地址</w:t>
      </w:r>
      <w:r>
        <w:rPr>
          <w:rFonts w:hint="eastAsia" w:ascii="仿宋_GB2312" w:hAnsi="仿宋_GB2312" w:eastAsia="仿宋_GB2312" w:cs="仿宋_GB2312"/>
          <w:color w:val="auto"/>
          <w:sz w:val="28"/>
          <w:szCs w:val="28"/>
          <w:lang w:val="en-US" w:eastAsia="zh-CN"/>
        </w:rPr>
        <w:t>：福建省龙岩市新罗区东肖镇曲潭路15号</w:t>
      </w:r>
    </w:p>
    <w:p w14:paraId="4601560E">
      <w:pPr>
        <w:pStyle w:val="1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 xml:space="preserve">    </w:t>
      </w:r>
    </w:p>
    <w:p w14:paraId="619C3ED1">
      <w:pPr>
        <w:pStyle w:val="13"/>
        <w:adjustRightInd w:val="0"/>
        <w:snapToGrid w:val="0"/>
        <w:spacing w:line="480" w:lineRule="exact"/>
        <w:ind w:firstLine="562" w:firstLineChars="200"/>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14:paraId="6270E7B1">
      <w:pPr>
        <w:pStyle w:val="1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7A68F540">
      <w:pPr>
        <w:pStyle w:val="1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14:paraId="64CCE89C">
      <w:pPr>
        <w:pStyle w:val="1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19CDB183">
      <w:pPr>
        <w:pStyle w:val="13"/>
        <w:adjustRightInd w:val="0"/>
        <w:snapToGrid w:val="0"/>
        <w:spacing w:line="480" w:lineRule="exact"/>
        <w:rPr>
          <w:rFonts w:hint="eastAsia" w:ascii="仿宋_GB2312" w:hAnsi="仿宋_GB2312" w:eastAsia="仿宋_GB2312" w:cs="仿宋_GB2312"/>
          <w:sz w:val="28"/>
          <w:szCs w:val="28"/>
          <w:lang w:val="en-US"/>
        </w:rPr>
      </w:pPr>
    </w:p>
    <w:p w14:paraId="2F161E2F">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14:paraId="5623472C">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14:paraId="00E1ED55">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14:paraId="1F883ED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val="0"/>
          <w:bCs w:val="0"/>
          <w:sz w:val="28"/>
          <w:szCs w:val="28"/>
          <w:lang w:val="en-US"/>
        </w:rPr>
        <w:t>1.1</w:t>
      </w: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应包含合同签约人、租赁投标活动中标人、房屋实际经营者等。</w:t>
      </w:r>
    </w:p>
    <w:p w14:paraId="007D594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1.2</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为自然人有配偶的，配偶属于共同承租主体。</w:t>
      </w:r>
    </w:p>
    <w:p w14:paraId="7E788BD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1.3</w:t>
      </w:r>
      <w:r>
        <w:rPr>
          <w:rFonts w:hint="eastAsia" w:ascii="仿宋_GB2312" w:hAnsi="仿宋_GB2312" w:eastAsia="仿宋_GB2312" w:cs="仿宋_GB2312"/>
          <w:b/>
          <w:bCs/>
          <w:sz w:val="28"/>
          <w:szCs w:val="28"/>
          <w:lang w:val="en-US"/>
        </w:rPr>
        <w:t xml:space="preserve"> 实际</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与签约</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不一致的，实际</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与签约</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都属于本合同的承租主体，享有合同权利、履行合同义务。</w:t>
      </w:r>
    </w:p>
    <w:p w14:paraId="1605231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1.4</w:t>
      </w:r>
      <w:r>
        <w:rPr>
          <w:rFonts w:hint="eastAsia" w:ascii="仿宋_GB2312" w:hAnsi="仿宋_GB2312" w:eastAsia="仿宋_GB2312" w:cs="仿宋_GB2312"/>
          <w:b/>
          <w:bCs/>
          <w:sz w:val="28"/>
          <w:szCs w:val="28"/>
          <w:lang w:val="en-US"/>
        </w:rPr>
        <w:t xml:space="preserve"> 乙方经营主体发生实际变更的，乙方及继受主体仍为合同义务人，对合同义务承担连带责任。</w:t>
      </w:r>
    </w:p>
    <w:p w14:paraId="16FAF99C">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14:paraId="791EAD05">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14:paraId="7FFFA13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14:paraId="0509E353">
      <w:pPr>
        <w:pStyle w:val="1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14:paraId="497F052E">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14:paraId="4F278DA8">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14:paraId="7497EAE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14:paraId="308DA86E">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14:paraId="02D475AA">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14:paraId="549DDC3B">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14:paraId="6A926C6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14:paraId="4EAA8C0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14:paraId="06A3BBF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.3</w:t>
      </w:r>
      <w:r>
        <w:rPr>
          <w:rFonts w:hint="eastAsia" w:ascii="仿宋_GB2312" w:hAnsi="仿宋_GB2312" w:eastAsia="仿宋_GB2312" w:cs="仿宋_GB2312"/>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_GB2312" w:hAnsi="仿宋_GB2312" w:eastAsia="仿宋_GB2312" w:cs="仿宋_GB2312"/>
          <w:sz w:val="28"/>
          <w:szCs w:val="28"/>
          <w:lang w:val="en-US"/>
        </w:rPr>
        <w:t>但甲方以公开方式（包括不限于挂网竞价、委托拍卖等）处置租赁物时，最迟应于公告规定的报名截止日前五天内通知</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未参加购买的视为放弃优先购买权。</w:t>
      </w:r>
    </w:p>
    <w:p w14:paraId="1C76CC9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14:paraId="72400F0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14:paraId="1F391886">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14:paraId="736195B3">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none"/>
          <w:shd w:val="clear" w:color="auto" w:fill="auto"/>
          <w:lang w:val="en-US"/>
        </w:rPr>
      </w:pPr>
      <w:r>
        <w:rPr>
          <w:rFonts w:hint="eastAsia" w:ascii="仿宋_GB2312" w:hAnsi="仿宋_GB2312" w:eastAsia="仿宋_GB2312" w:cs="仿宋_GB2312"/>
          <w:sz w:val="28"/>
          <w:szCs w:val="28"/>
          <w:highlight w:val="none"/>
          <w:shd w:val="clear" w:color="auto" w:fill="auto"/>
          <w:lang w:val="en-US" w:eastAsia="zh-CN"/>
        </w:rPr>
        <w:t>6</w:t>
      </w:r>
      <w:r>
        <w:rPr>
          <w:rFonts w:hint="eastAsia" w:ascii="仿宋_GB2312" w:hAnsi="仿宋_GB2312" w:eastAsia="仿宋_GB2312" w:cs="仿宋_GB2312"/>
          <w:sz w:val="28"/>
          <w:szCs w:val="28"/>
          <w:highlight w:val="none"/>
          <w:shd w:val="clear" w:color="auto" w:fill="auto"/>
          <w:lang w:val="en-US"/>
        </w:rPr>
        <w:t xml:space="preserve">.1 </w:t>
      </w:r>
      <w:r>
        <w:rPr>
          <w:rFonts w:hint="eastAsia" w:ascii="仿宋_GB2312" w:hAnsi="仿宋_GB2312" w:eastAsia="仿宋_GB2312" w:cs="仿宋_GB2312"/>
          <w:b/>
          <w:bCs/>
          <w:sz w:val="28"/>
          <w:szCs w:val="28"/>
          <w:highlight w:val="none"/>
          <w:shd w:val="clear" w:color="auto" w:fill="auto"/>
          <w:lang w:val="en-US"/>
        </w:rPr>
        <w:t>乙方在合同期内无违约行为，租赁期满后拟续租的，在同等条件下，乙方享有优先承租权。</w:t>
      </w:r>
    </w:p>
    <w:p w14:paraId="43BE6BE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14:paraId="2E873FD6">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行业主管部门的同意，并在调整房屋结构后，聘请有资质的单位，对房屋结构安全进行鉴定，确保房屋结构安全后，才可投入运营。乙方需确保门面招牌包括但不限于结构、电器等方面的安全，</w:t>
      </w:r>
      <w:r>
        <w:rPr>
          <w:rFonts w:hint="eastAsia" w:ascii="仿宋_GB2312" w:hAnsi="仿宋_GB2312" w:eastAsia="仿宋_GB2312" w:cs="仿宋_GB2312"/>
          <w:b/>
          <w:bCs/>
          <w:sz w:val="28"/>
          <w:szCs w:val="28"/>
          <w:lang w:val="en-US"/>
        </w:rPr>
        <w:t>若乙方无法确保门面招牌的安全或发现问题未及时整改到位，甲方有权对其门面招牌进行拆除，一切损失由乙方承担。</w:t>
      </w:r>
    </w:p>
    <w:p w14:paraId="4883C05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14:paraId="4A67F7A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14:paraId="55878FD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.6 乙方不得违反规定在租赁区域内储藏、放置任何易燃易爆及有毒的物品及材料；</w:t>
      </w:r>
      <w:r>
        <w:rPr>
          <w:rFonts w:hint="eastAsia" w:ascii="仿宋_GB2312" w:hAnsi="仿宋_GB2312" w:eastAsia="仿宋_GB2312" w:cs="仿宋_GB2312"/>
          <w:b/>
          <w:bCs/>
          <w:sz w:val="28"/>
          <w:szCs w:val="28"/>
          <w:lang w:val="en-US"/>
        </w:rPr>
        <w:t>不得在通道、楼梯等公共部位或电梯内留置任何物品或垃圾，否则视为遗弃物处理</w:t>
      </w:r>
      <w:r>
        <w:rPr>
          <w:rFonts w:hint="eastAsia" w:ascii="仿宋_GB2312" w:hAnsi="仿宋_GB2312" w:eastAsia="仿宋_GB2312" w:cs="仿宋_GB2312"/>
          <w:sz w:val="28"/>
          <w:szCs w:val="28"/>
          <w:lang w:val="en-US"/>
        </w:rPr>
        <w:t>，乙方应自行承担因此造成的全部损失。</w:t>
      </w:r>
    </w:p>
    <w:p w14:paraId="4BB9F615">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.7 乙方承诺不将租赁物用于非法活动，</w:t>
      </w:r>
      <w:r>
        <w:rPr>
          <w:rFonts w:hint="eastAsia" w:ascii="仿宋_GB2312" w:hAnsi="仿宋_GB2312" w:eastAsia="仿宋_GB2312" w:cs="仿宋_GB2312"/>
          <w:b/>
          <w:bCs/>
          <w:sz w:val="28"/>
          <w:szCs w:val="28"/>
          <w:lang w:val="en-US"/>
        </w:rPr>
        <w:t>未经甲方书面同意，不得改变租赁物的用途。</w:t>
      </w:r>
    </w:p>
    <w:p w14:paraId="46FEEAD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.8 乙方应按时支付租金及其他费用，乙方提前缴纳租金不受限制，但提前缴纳租金不得被认为或推定为甲方认可或同意其继续租赁，也不得要求计息或减免租金。</w:t>
      </w:r>
    </w:p>
    <w:p w14:paraId="7813B4C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.9 乙方支付租金后，可以凭租金缴纳的书面证明材料，在工作日到甲方办公地换取收款凭证或发票。</w:t>
      </w:r>
    </w:p>
    <w:p w14:paraId="6FAFC6F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.10 乙方为法人或乙方租赁后成立法人组织的，若将租赁房屋地址登记为法人住所地，租赁合同解除时，乙方应相应注销登记地址。若解除合同时，</w:t>
      </w:r>
      <w:r>
        <w:rPr>
          <w:rFonts w:hint="eastAsia" w:ascii="仿宋_GB2312" w:hAnsi="仿宋_GB2312" w:eastAsia="仿宋_GB2312" w:cs="仿宋_GB2312"/>
          <w:b/>
          <w:bCs/>
          <w:sz w:val="28"/>
          <w:szCs w:val="28"/>
          <w:lang w:val="en-US"/>
        </w:rPr>
        <w:t>乙方未及时注销地址，对甲方及下一任租赁客户造成无法办理工商注册登记的影响，甲方有权不予退还乙方履约保证金并追究乙方违约责任。</w:t>
      </w:r>
    </w:p>
    <w:p w14:paraId="46027DDC">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14:paraId="6E8AD06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14:paraId="531B770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14:paraId="773725E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14:paraId="34EC9B3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14:paraId="71B26FC3">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.5 除经甲方同意的装饰装修或更改部分项目之外，乙方不得对现有设施设备进行任何安装、改装。否则甲方有权要求乙方恢复原状，并赔偿因此给甲方带来的损失。</w:t>
      </w:r>
    </w:p>
    <w:p w14:paraId="3D385D6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.6 </w:t>
      </w:r>
      <w:r>
        <w:rPr>
          <w:rFonts w:hint="eastAsia" w:ascii="仿宋_GB2312" w:hAnsi="仿宋_GB2312" w:eastAsia="仿宋_GB2312" w:cs="仿宋_GB2312"/>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1170164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消防、物业服务单位等）验收合格后方可投入使用。</w:t>
      </w:r>
    </w:p>
    <w:p w14:paraId="2BD52A18">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.8 </w:t>
      </w:r>
      <w:r>
        <w:rPr>
          <w:rFonts w:hint="eastAsia" w:ascii="仿宋_GB2312" w:hAnsi="仿宋_GB2312" w:eastAsia="仿宋_GB2312" w:cs="仿宋_GB2312"/>
          <w:b/>
          <w:bCs/>
          <w:sz w:val="28"/>
          <w:szCs w:val="28"/>
          <w:lang w:val="en-US"/>
        </w:rPr>
        <w:t>乙方负有对租赁物及其附属设施（含室内及通道部分的消防等设施）使用性损坏的维修义务</w:t>
      </w:r>
      <w:r>
        <w:rPr>
          <w:rFonts w:hint="eastAsia" w:ascii="仿宋_GB2312" w:hAnsi="仿宋_GB2312" w:eastAsia="仿宋_GB2312" w:cs="仿宋_GB2312"/>
          <w:sz w:val="28"/>
          <w:szCs w:val="28"/>
          <w:lang w:val="en-US"/>
        </w:rPr>
        <w:t>，当出现需维修时（含第三人的原因导致损坏），乙方必须及时修复，并承担由此发生的维修费用。</w:t>
      </w:r>
    </w:p>
    <w:p w14:paraId="015BBEEA">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.9 甲方负责因自然老化所造成的房屋结构性损坏、隐蔽工程损坏的维修，维修费用由甲方承担。</w:t>
      </w:r>
    </w:p>
    <w:p w14:paraId="3DA17ABA">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14:paraId="2FE0D50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b/>
          <w:bCs/>
          <w:sz w:val="28"/>
          <w:szCs w:val="28"/>
          <w:lang w:val="en-US"/>
        </w:rPr>
        <w:t>未经甲方书面同意，乙方不得转租、分租</w:t>
      </w:r>
      <w:r>
        <w:rPr>
          <w:rFonts w:hint="eastAsia" w:ascii="仿宋_GB2312" w:hAnsi="仿宋_GB2312" w:eastAsia="仿宋_GB2312" w:cs="仿宋_GB2312"/>
          <w:sz w:val="28"/>
          <w:szCs w:val="28"/>
          <w:lang w:val="en-US"/>
        </w:rPr>
        <w:t>。</w:t>
      </w:r>
    </w:p>
    <w:p w14:paraId="05878D5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.2 甲方书面同意乙方转租、分租的，转租、分租合同的租赁期限不得长于本租赁合同期限；租金支付</w:t>
      </w:r>
      <w:r>
        <w:rPr>
          <w:rFonts w:hint="eastAsia" w:ascii="仿宋_GB2312" w:hAnsi="仿宋_GB2312" w:eastAsia="仿宋_GB2312" w:cs="仿宋_GB2312"/>
          <w:sz w:val="28"/>
          <w:szCs w:val="28"/>
          <w:lang w:val="en-US" w:eastAsia="zh-CN"/>
        </w:rPr>
        <w:t>时限</w:t>
      </w:r>
      <w:r>
        <w:rPr>
          <w:rFonts w:hint="eastAsia" w:ascii="仿宋_GB2312" w:hAnsi="仿宋_GB2312" w:eastAsia="仿宋_GB2312" w:cs="仿宋_GB2312"/>
          <w:sz w:val="28"/>
          <w:szCs w:val="28"/>
          <w:lang w:val="en-US"/>
        </w:rPr>
        <w:t>应与本租赁合同一致。</w:t>
      </w:r>
    </w:p>
    <w:p w14:paraId="5102685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.3 乙方应自转租、分租合同签订后5日内，向甲方提交一份合同副本及次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的相关证照。</w:t>
      </w:r>
    </w:p>
    <w:p w14:paraId="55628F8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.4 </w:t>
      </w:r>
      <w:r>
        <w:rPr>
          <w:rFonts w:hint="eastAsia" w:ascii="仿宋_GB2312" w:hAnsi="仿宋_GB2312" w:eastAsia="仿宋_GB2312" w:cs="仿宋_GB2312"/>
          <w:b/>
          <w:bCs/>
          <w:sz w:val="28"/>
          <w:szCs w:val="28"/>
          <w:lang w:val="en-US"/>
        </w:rPr>
        <w:t>乙方负责对次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经营行为进行监督管理，不得违反甲方租赁物管理的相关规定，并对次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的行为承担连带责任。</w:t>
      </w:r>
    </w:p>
    <w:p w14:paraId="131A405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.5 </w:t>
      </w:r>
      <w:r>
        <w:rPr>
          <w:rFonts w:hint="eastAsia" w:ascii="仿宋_GB2312" w:hAnsi="仿宋_GB2312" w:eastAsia="仿宋_GB2312" w:cs="仿宋_GB2312"/>
          <w:b/>
          <w:bCs/>
          <w:sz w:val="28"/>
          <w:szCs w:val="28"/>
          <w:lang w:val="en-US"/>
        </w:rPr>
        <w:t>若乙方拖欠甲方租金的，甲方有权通知次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将应付未付给乙方的租金直接支付给甲方，用以抵扣乙方拖欠的租金。</w:t>
      </w:r>
    </w:p>
    <w:p w14:paraId="1DBFC08B">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.6 若遇甲方政策性减免租金（如疫情），乙方享受甲方政策优惠的，应当对次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采取同等优惠措施，</w:t>
      </w:r>
      <w:r>
        <w:rPr>
          <w:rFonts w:hint="eastAsia" w:ascii="仿宋_GB2312" w:hAnsi="仿宋_GB2312" w:eastAsia="仿宋_GB2312" w:cs="仿宋_GB2312"/>
          <w:b/>
          <w:bCs/>
          <w:sz w:val="28"/>
          <w:szCs w:val="28"/>
          <w:lang w:val="en-US"/>
        </w:rPr>
        <w:t>若乙方未将优惠落实的，甲方有权取消乙方享受的优惠，并要求乙方补缴相应租金。</w:t>
      </w:r>
    </w:p>
    <w:p w14:paraId="7C81DC4B">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.7 甲乙双方因不可抗力的原因导致合同无法履行时，乙方应自行负责解除与次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、分租人的合同关系，并承担相应的赔偿责任，甲方不承担任何责任。</w:t>
      </w:r>
    </w:p>
    <w:p w14:paraId="1E00C25E">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14:paraId="57E9A67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.1 履约保证金用于担保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14:paraId="3E7379A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_GB2312" w:hAnsi="仿宋_GB2312" w:eastAsia="仿宋_GB2312" w:cs="仿宋_GB2312"/>
          <w:sz w:val="28"/>
          <w:szCs w:val="28"/>
          <w:lang w:val="en-US"/>
        </w:rPr>
        <w:t>在租赁期内乙方无违约行为，在乙方办妥退租手续、交还租赁物并结清所有相关费用后，乙方可凭履约保证金收据到甲方财务部退回履约保证金（不计息）。</w:t>
      </w:r>
    </w:p>
    <w:p w14:paraId="7A39B434">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14:paraId="60C925E3">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w:t>
      </w:r>
      <w:r>
        <w:rPr>
          <w:rFonts w:hint="eastAsia" w:ascii="仿宋_GB2312" w:hAnsi="仿宋_GB2312" w:eastAsia="仿宋_GB2312" w:cs="仿宋_GB2312"/>
          <w:b w:val="0"/>
          <w:bCs w:val="0"/>
          <w:sz w:val="28"/>
          <w:szCs w:val="28"/>
          <w:lang w:val="en-US" w:eastAsia="zh-CN"/>
        </w:rPr>
        <w:t>租赁期限届满的，按照资产租赁管理办法有关规定办理。符合规定要求的，</w:t>
      </w:r>
      <w:r>
        <w:rPr>
          <w:rFonts w:hint="eastAsia" w:ascii="仿宋_GB2312" w:hAnsi="仿宋_GB2312" w:eastAsia="仿宋_GB2312" w:cs="仿宋_GB2312"/>
          <w:b w:val="0"/>
          <w:bCs w:val="0"/>
          <w:sz w:val="28"/>
          <w:szCs w:val="28"/>
          <w:lang w:val="en-US"/>
        </w:rPr>
        <w:t>租赁期限届满前，双方可就租赁合同续期事宜进行协商，协商一致后另行签订租赁合同。</w:t>
      </w:r>
    </w:p>
    <w:p w14:paraId="16CFBFB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14:paraId="36770B7B">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14:paraId="0F7C54A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14:paraId="175A392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14:paraId="54E7632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14:paraId="3FCE3CF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14:paraId="5FDF7BA5">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14:paraId="2DDD36A0">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14:paraId="6030E548">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14:paraId="08561665">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14:paraId="0F34BE8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14:paraId="36B9FD3F">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14:paraId="79DA83E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14:paraId="1956EB96">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14:paraId="32A2D6CC">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14:paraId="5221BB06">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14:paraId="06688C0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sz w:val="28"/>
          <w:szCs w:val="28"/>
          <w:lang w:val="en-US" w:eastAsia="zh-CN"/>
        </w:rPr>
        <w:t>十五</w:t>
      </w:r>
      <w:r>
        <w:rPr>
          <w:rFonts w:hint="eastAsia" w:ascii="仿宋_GB2312" w:hAnsi="仿宋_GB2312" w:eastAsia="仿宋_GB2312" w:cs="仿宋_GB2312"/>
          <w:sz w:val="28"/>
          <w:szCs w:val="28"/>
          <w:lang w:val="en-US"/>
        </w:rPr>
        <w:t>天内将自行购置的可移动物品全部搬离，将租赁物移交给甲方。</w:t>
      </w:r>
    </w:p>
    <w:p w14:paraId="7A03DDDE">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逾期未移交租赁物的，所遗留物品视为乙方的遗弃物</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rPr>
        <w:t>甲方有权</w:t>
      </w:r>
      <w:r>
        <w:rPr>
          <w:rFonts w:hint="eastAsia" w:ascii="仿宋_GB2312" w:hAnsi="仿宋_GB2312" w:eastAsia="仿宋_GB2312" w:cs="仿宋_GB2312"/>
          <w:b/>
          <w:bCs/>
          <w:sz w:val="28"/>
          <w:szCs w:val="28"/>
          <w:lang w:val="en-US" w:eastAsia="zh-CN"/>
        </w:rPr>
        <w:t>自行</w:t>
      </w:r>
      <w:r>
        <w:rPr>
          <w:rFonts w:hint="eastAsia" w:ascii="仿宋_GB2312" w:hAnsi="仿宋_GB2312" w:eastAsia="仿宋_GB2312" w:cs="仿宋_GB2312"/>
          <w:b/>
          <w:bCs/>
          <w:sz w:val="28"/>
          <w:szCs w:val="28"/>
          <w:lang w:val="en-US"/>
        </w:rPr>
        <w:t>处置或申请福建省龙岩市闽西公证处等公证机关对乙方滞留财产的现状及清点、封存行为进行证据保全，由此产生的费用由乙方承担。</w:t>
      </w:r>
    </w:p>
    <w:p w14:paraId="2417318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.3 </w:t>
      </w:r>
      <w:r>
        <w:rPr>
          <w:rFonts w:hint="eastAsia" w:ascii="仿宋_GB2312" w:hAnsi="仿宋_GB2312" w:eastAsia="仿宋_GB2312" w:cs="仿宋_GB2312"/>
          <w:b/>
          <w:bCs/>
          <w:sz w:val="28"/>
          <w:szCs w:val="28"/>
          <w:lang w:val="en-US"/>
        </w:rPr>
        <w:t>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bCs/>
          <w:sz w:val="28"/>
          <w:szCs w:val="28"/>
          <w:shd w:val="clear" w:color="auto" w:fill="auto"/>
          <w:lang w:val="en-US" w:eastAsia="zh-CN"/>
        </w:rPr>
        <w:t>2</w:t>
      </w:r>
      <w:r>
        <w:rPr>
          <w:rFonts w:hint="eastAsia" w:ascii="仿宋_GB2312" w:hAnsi="仿宋_GB2312" w:eastAsia="仿宋_GB2312" w:cs="仿宋_GB2312"/>
          <w:b/>
          <w:bCs/>
          <w:sz w:val="28"/>
          <w:szCs w:val="28"/>
          <w:lang w:val="en-US"/>
        </w:rPr>
        <w:t>倍计算，占用期限自合同终止或解除之日起算。</w:t>
      </w:r>
    </w:p>
    <w:p w14:paraId="3F638BE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.4 乙方应当保证甲方交付的租赁物及附属设施、设备完好齐全，清洁干净后交还甲方。除正常损耗外，因乙方原因导致外观及设施设备有损坏的，乙方须负责修复或赔偿损失。</w:t>
      </w:r>
    </w:p>
    <w:p w14:paraId="3193405E">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14:paraId="082E8AA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14:paraId="108522E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bCs/>
          <w:sz w:val="28"/>
          <w:szCs w:val="28"/>
          <w:lang w:val="en-US" w:eastAsia="zh-CN"/>
        </w:rPr>
        <w:t>逾期利息</w:t>
      </w:r>
      <w:r>
        <w:rPr>
          <w:rFonts w:hint="eastAsia" w:ascii="仿宋_GB2312" w:hAnsi="仿宋_GB2312" w:eastAsia="仿宋_GB2312" w:cs="仿宋_GB2312"/>
          <w:b/>
          <w:bCs/>
          <w:sz w:val="28"/>
          <w:szCs w:val="28"/>
          <w:lang w:val="en-US"/>
        </w:rPr>
        <w:t>）。经甲方书面催告后，乙方仍未交清逾期款项及逾期利息的，甲方有权立即解除本合同。</w:t>
      </w:r>
    </w:p>
    <w:p w14:paraId="30450ED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shd w:val="clear" w:color="auto" w:fill="auto"/>
          <w:lang w:val="en-US"/>
        </w:rPr>
      </w:pPr>
      <w:r>
        <w:rPr>
          <w:rFonts w:hint="eastAsia" w:ascii="仿宋_GB2312" w:hAnsi="仿宋_GB2312" w:eastAsia="仿宋_GB2312" w:cs="仿宋_GB2312"/>
          <w:sz w:val="28"/>
          <w:szCs w:val="28"/>
          <w:shd w:val="clear" w:color="auto" w:fill="auto"/>
          <w:lang w:val="en-US" w:eastAsia="zh-CN"/>
        </w:rPr>
        <w:t>12</w:t>
      </w:r>
      <w:r>
        <w:rPr>
          <w:rFonts w:hint="eastAsia" w:ascii="仿宋_GB2312" w:hAnsi="仿宋_GB2312" w:eastAsia="仿宋_GB2312" w:cs="仿宋_GB2312"/>
          <w:sz w:val="28"/>
          <w:szCs w:val="28"/>
          <w:shd w:val="clear" w:color="auto" w:fill="auto"/>
          <w:lang w:val="en-US"/>
        </w:rPr>
        <w:t xml:space="preserve">.3 </w:t>
      </w:r>
      <w:r>
        <w:rPr>
          <w:rFonts w:hint="eastAsia" w:ascii="仿宋_GB2312" w:hAnsi="仿宋_GB2312" w:eastAsia="仿宋_GB2312" w:cs="仿宋_GB2312"/>
          <w:b/>
          <w:bCs/>
          <w:sz w:val="28"/>
          <w:szCs w:val="28"/>
          <w:shd w:val="clear" w:color="auto" w:fill="auto"/>
          <w:lang w:val="en-US" w:eastAsia="zh-CN"/>
        </w:rPr>
        <w:t>由乙方</w:t>
      </w:r>
      <w:r>
        <w:rPr>
          <w:rFonts w:hint="eastAsia" w:ascii="仿宋_GB2312" w:hAnsi="仿宋_GB2312" w:eastAsia="仿宋_GB2312" w:cs="仿宋_GB2312"/>
          <w:b/>
          <w:bCs/>
          <w:sz w:val="28"/>
          <w:szCs w:val="28"/>
          <w:shd w:val="clear" w:color="auto" w:fill="auto"/>
          <w:lang w:val="en-US"/>
        </w:rPr>
        <w:t>单方</w:t>
      </w:r>
      <w:r>
        <w:rPr>
          <w:rFonts w:hint="eastAsia" w:ascii="仿宋_GB2312" w:hAnsi="仿宋_GB2312" w:eastAsia="仿宋_GB2312" w:cs="仿宋_GB2312"/>
          <w:b/>
          <w:bCs/>
          <w:sz w:val="28"/>
          <w:szCs w:val="28"/>
          <w:shd w:val="clear" w:color="auto" w:fill="auto"/>
          <w:lang w:val="en-US" w:eastAsia="zh-CN"/>
        </w:rPr>
        <w:t>提出</w:t>
      </w:r>
      <w:r>
        <w:rPr>
          <w:rFonts w:hint="eastAsia" w:ascii="仿宋_GB2312" w:hAnsi="仿宋_GB2312" w:eastAsia="仿宋_GB2312" w:cs="仿宋_GB2312"/>
          <w:b/>
          <w:bCs/>
          <w:sz w:val="28"/>
          <w:szCs w:val="28"/>
          <w:shd w:val="clear" w:color="auto" w:fill="auto"/>
          <w:lang w:val="en-US"/>
        </w:rPr>
        <w:t>解除合同的，履约保证金不</w:t>
      </w:r>
      <w:r>
        <w:rPr>
          <w:rFonts w:hint="eastAsia" w:ascii="仿宋_GB2312" w:hAnsi="仿宋_GB2312" w:eastAsia="仿宋_GB2312" w:cs="仿宋_GB2312"/>
          <w:b/>
          <w:bCs/>
          <w:sz w:val="28"/>
          <w:szCs w:val="28"/>
          <w:shd w:val="clear" w:color="auto" w:fill="auto"/>
          <w:lang w:val="en-US" w:eastAsia="zh-CN"/>
        </w:rPr>
        <w:t>予</w:t>
      </w:r>
      <w:r>
        <w:rPr>
          <w:rFonts w:hint="eastAsia" w:ascii="仿宋_GB2312" w:hAnsi="仿宋_GB2312" w:eastAsia="仿宋_GB2312" w:cs="仿宋_GB2312"/>
          <w:b/>
          <w:bCs/>
          <w:sz w:val="28"/>
          <w:szCs w:val="28"/>
          <w:shd w:val="clear" w:color="auto" w:fill="auto"/>
          <w:lang w:val="en-US"/>
        </w:rPr>
        <w:t>退还，归甲方所有。</w:t>
      </w:r>
    </w:p>
    <w:p w14:paraId="30A3C01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val="en-US"/>
        </w:rPr>
        <w:t>差旅费等。</w:t>
      </w:r>
    </w:p>
    <w:p w14:paraId="60F8697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.5 本条约定的违约责任与本合同其他条文约定的违约责任有不同规定的，适用责任较重的条文约定。</w:t>
      </w:r>
    </w:p>
    <w:p w14:paraId="01F35558">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14:paraId="6362BAF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14:paraId="1568BBD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14:paraId="1B1F5C31">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14:paraId="0886A14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14:paraId="30207FD5">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14:paraId="77D0CA8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14:paraId="0B66DC5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14:paraId="23B66D9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14:paraId="42A54F0B">
      <w:pPr>
        <w:pStyle w:val="13"/>
        <w:keepNext w:val="0"/>
        <w:keepLines w:val="0"/>
        <w:pageBreakBefore w:val="0"/>
        <w:widowControl/>
        <w:kinsoku/>
        <w:wordWrap/>
        <w:overflowPunct/>
        <w:topLinePunct w:val="0"/>
        <w:bidi w:val="0"/>
        <w:adjustRightInd w:val="0"/>
        <w:snapToGrid w:val="0"/>
        <w:spacing w:line="480" w:lineRule="exact"/>
        <w:jc w:val="both"/>
        <w:textAlignment w:val="auto"/>
        <w:outlineLvl w:val="0"/>
        <w:rPr>
          <w:rFonts w:hint="eastAsia" w:ascii="仿宋_GB2312" w:hAnsi="仿宋_GB2312" w:eastAsia="仿宋_GB2312" w:cs="仿宋_GB2312"/>
          <w:sz w:val="28"/>
          <w:szCs w:val="28"/>
        </w:rPr>
      </w:pPr>
    </w:p>
    <w:p w14:paraId="608D5ADC">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14:paraId="38AE573A">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14:paraId="2FA37DFC">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rPr>
        <w:t>龙岩经济技术开发区曲潭路15号龙岩市科技创业园(以下简称科创园)</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rPr>
        <w:t>。</w:t>
      </w:r>
    </w:p>
    <w:p w14:paraId="73987380">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平方米。</w:t>
      </w:r>
    </w:p>
    <w:p w14:paraId="6C513A89">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default"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w:t>
      </w:r>
    </w:p>
    <w:p w14:paraId="6D4A06A9">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14:paraId="6152D59D">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none"/>
          <w:lang w:val="en-US" w:eastAsia="zh-CN"/>
        </w:rPr>
        <w:t>用于</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14:paraId="3D3FCDB0">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14:paraId="4C123C36">
      <w:pPr>
        <w:pStyle w:val="13"/>
        <w:keepNext w:val="0"/>
        <w:keepLines w:val="0"/>
        <w:pageBreakBefore w:val="0"/>
        <w:widowControl/>
        <w:kinsoku/>
        <w:wordWrap/>
        <w:overflowPunct/>
        <w:topLinePunct w:val="0"/>
        <w:autoSpaceDE/>
        <w:autoSpaceDN/>
        <w:bidi w:val="0"/>
        <w:adjustRightInd w:val="0"/>
        <w:snapToGrid w:val="0"/>
        <w:spacing w:line="490" w:lineRule="atLeast"/>
        <w:ind w:left="278" w:leftChars="116" w:firstLine="280" w:firstLineChars="1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日起至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14:paraId="14D89CFA">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14:paraId="65403D3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元整），</w:t>
      </w:r>
      <w:r>
        <w:rPr>
          <w:rFonts w:hint="eastAsia" w:ascii="仿宋_GB2312" w:hAnsi="仿宋_GB2312" w:eastAsia="仿宋_GB2312" w:cs="仿宋_GB2312"/>
          <w:sz w:val="28"/>
          <w:szCs w:val="28"/>
          <w:u w:val="none"/>
          <w:lang w:val="en-US"/>
        </w:rPr>
        <w:t>如遇国家增值税税率调整，相应调整不含税金额和税额，合计金额不变。</w:t>
      </w:r>
      <w:r>
        <w:rPr>
          <w:rFonts w:hint="eastAsia" w:ascii="仿宋_GB2312" w:hAnsi="仿宋_GB2312" w:eastAsia="仿宋_GB2312" w:cs="仿宋_GB2312"/>
          <w:sz w:val="28"/>
          <w:szCs w:val="28"/>
          <w:lang w:val="en-US"/>
        </w:rPr>
        <w:t>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14:paraId="762CFD7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14:paraId="4D43BC1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14:paraId="087FD59C">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eastAsia="zh-CN"/>
        </w:rPr>
        <w:t>5</w:t>
      </w:r>
      <w:r>
        <w:rPr>
          <w:rFonts w:hint="eastAsia" w:ascii="仿宋_GB2312" w:hAnsi="仿宋_GB2312" w:eastAsia="仿宋_GB2312" w:cs="仿宋_GB2312"/>
          <w:sz w:val="28"/>
          <w:szCs w:val="28"/>
          <w:lang w:val="en-US"/>
        </w:rPr>
        <w:t>%，具体如</w:t>
      </w:r>
    </w:p>
    <w:p w14:paraId="7DC46D82">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下</w:t>
      </w:r>
      <w:r>
        <w:rPr>
          <w:rFonts w:hint="eastAsia" w:ascii="仿宋_GB2312" w:hAnsi="仿宋_GB2312" w:eastAsia="仿宋_GB2312" w:cs="仿宋_GB2312"/>
          <w:sz w:val="28"/>
          <w:szCs w:val="28"/>
          <w:lang w:val="en-US" w:eastAsia="zh-CN"/>
        </w:rPr>
        <w:t>：</w:t>
      </w:r>
    </w:p>
    <w:p w14:paraId="251AB66A">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4B55BE11">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32AF16D3">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14476FB9">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3675CCF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sz w:val="28"/>
          <w:szCs w:val="28"/>
          <w:lang w:val="en-US" w:eastAsia="zh-CN"/>
        </w:rPr>
        <w:t>技术改造及</w:t>
      </w:r>
      <w:r>
        <w:rPr>
          <w:rFonts w:hint="eastAsia" w:ascii="仿宋_GB2312" w:hAnsi="仿宋_GB2312" w:eastAsia="仿宋_GB2312" w:cs="仿宋_GB2312"/>
          <w:color w:val="auto"/>
          <w:sz w:val="28"/>
          <w:szCs w:val="28"/>
          <w:lang w:val="en-US" w:eastAsia="zh-CN"/>
        </w:rPr>
        <w:t>装修优惠期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优惠期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w:t>
      </w:r>
      <w:r>
        <w:rPr>
          <w:rFonts w:hint="eastAsia" w:ascii="仿宋_GB2312" w:hAnsi="仿宋_GB2312" w:eastAsia="仿宋_GB2312" w:cs="仿宋_GB2312"/>
          <w:sz w:val="28"/>
          <w:szCs w:val="28"/>
          <w:lang w:val="en-US" w:eastAsia="zh-CN"/>
        </w:rPr>
        <w:t>平方米</w:t>
      </w:r>
      <w:r>
        <w:rPr>
          <w:rFonts w:hint="eastAsia" w:ascii="仿宋_GB2312" w:hAnsi="仿宋_GB2312" w:eastAsia="仿宋_GB2312" w:cs="仿宋_GB2312"/>
          <w:sz w:val="28"/>
          <w:szCs w:val="28"/>
          <w:lang w:val="en-US"/>
        </w:rPr>
        <w:t>/月。</w:t>
      </w:r>
    </w:p>
    <w:p w14:paraId="47F212F0">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14:paraId="76A18BD2">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月</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每月15日</w:t>
      </w:r>
      <w:r>
        <w:rPr>
          <w:rFonts w:hint="eastAsia" w:ascii="仿宋_GB2312" w:hAnsi="仿宋_GB2312" w:eastAsia="仿宋_GB2312" w:cs="仿宋_GB2312"/>
          <w:sz w:val="28"/>
          <w:szCs w:val="28"/>
          <w:lang w:val="en-US"/>
        </w:rPr>
        <w:t>前向甲方支付</w:t>
      </w:r>
      <w:r>
        <w:rPr>
          <w:rFonts w:hint="eastAsia" w:ascii="仿宋_GB2312" w:hAnsi="仿宋_GB2312" w:eastAsia="仿宋_GB2312" w:cs="仿宋_GB2312"/>
          <w:b/>
          <w:bCs/>
          <w:color w:val="auto"/>
          <w:sz w:val="28"/>
          <w:szCs w:val="28"/>
          <w:lang w:val="en-US" w:bidi="zh-CN"/>
        </w:rPr>
        <w:t>次月</w:t>
      </w:r>
      <w:r>
        <w:rPr>
          <w:rFonts w:hint="eastAsia" w:ascii="仿宋_GB2312" w:hAnsi="仿宋_GB2312" w:eastAsia="仿宋_GB2312" w:cs="仿宋_GB2312"/>
          <w:sz w:val="28"/>
          <w:szCs w:val="28"/>
          <w:lang w:val="en-US"/>
        </w:rPr>
        <w:t>租金；</w:t>
      </w:r>
    </w:p>
    <w:p w14:paraId="6CA5CB1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14:paraId="4482FA35">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highlight w:val="none"/>
          <w:u w:val="single"/>
          <w:lang w:val="en-US"/>
        </w:rPr>
      </w:pPr>
      <w:r>
        <w:rPr>
          <w:rFonts w:hint="eastAsia" w:ascii="仿宋_GB2312" w:hAnsi="仿宋_GB2312" w:eastAsia="仿宋_GB2312" w:cs="仿宋_GB2312"/>
          <w:sz w:val="28"/>
          <w:szCs w:val="28"/>
          <w:highlight w:val="none"/>
          <w:lang w:val="en-US"/>
        </w:rPr>
        <w:t>户  名</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u w:val="single"/>
          <w:lang w:val="en-US"/>
        </w:rPr>
        <w:t>龙岩龙鑫实业有限公司</w:t>
      </w:r>
    </w:p>
    <w:p w14:paraId="0115BB86">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highlight w:val="none"/>
          <w:u w:val="none"/>
          <w:lang w:val="en-US"/>
        </w:rPr>
      </w:pPr>
      <w:r>
        <w:rPr>
          <w:rFonts w:hint="eastAsia" w:ascii="仿宋_GB2312" w:hAnsi="仿宋_GB2312" w:eastAsia="仿宋_GB2312" w:cs="仿宋_GB2312"/>
          <w:sz w:val="28"/>
          <w:szCs w:val="28"/>
          <w:highlight w:val="none"/>
          <w:lang w:val="en-US"/>
        </w:rPr>
        <w:t>账  号</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u w:val="single"/>
          <w:lang w:val="en-US"/>
        </w:rPr>
        <w:t>171030100100321929</w:t>
      </w:r>
      <w:r>
        <w:rPr>
          <w:rFonts w:hint="eastAsia" w:ascii="仿宋_GB2312" w:hAnsi="仿宋_GB2312" w:eastAsia="仿宋_GB2312" w:cs="仿宋_GB2312"/>
          <w:sz w:val="28"/>
          <w:szCs w:val="28"/>
          <w:highlight w:val="none"/>
          <w:u w:val="none"/>
          <w:lang w:val="en-US"/>
        </w:rPr>
        <w:t xml:space="preserve">           </w:t>
      </w:r>
    </w:p>
    <w:p w14:paraId="39243565">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highlight w:val="none"/>
          <w:lang w:val="en-US"/>
        </w:rPr>
      </w:pPr>
      <w:r>
        <w:rPr>
          <w:rFonts w:hint="eastAsia" w:ascii="仿宋_GB2312" w:hAnsi="仿宋_GB2312" w:eastAsia="仿宋_GB2312" w:cs="仿宋_GB2312"/>
          <w:sz w:val="28"/>
          <w:szCs w:val="28"/>
          <w:highlight w:val="none"/>
          <w:lang w:val="en-US"/>
        </w:rPr>
        <w:t>开户行</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u w:val="single"/>
          <w:lang w:val="en-US"/>
        </w:rPr>
        <w:t>兴业银行龙岩分行</w:t>
      </w:r>
    </w:p>
    <w:p w14:paraId="155A25F2">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p>
    <w:p w14:paraId="03D1C049">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.1 乙方在</w:t>
      </w:r>
      <w:r>
        <w:rPr>
          <w:rFonts w:hint="eastAsia" w:ascii="仿宋_GB2312" w:hAnsi="仿宋_GB2312" w:eastAsia="仿宋_GB2312" w:cs="仿宋_GB2312"/>
          <w:sz w:val="28"/>
          <w:szCs w:val="28"/>
        </w:rPr>
        <w:t>租赁合同</w:t>
      </w:r>
      <w:r>
        <w:rPr>
          <w:rFonts w:hint="eastAsia" w:ascii="仿宋_GB2312" w:hAnsi="仿宋_GB2312" w:eastAsia="仿宋_GB2312" w:cs="仿宋_GB2312"/>
          <w:sz w:val="28"/>
          <w:szCs w:val="28"/>
          <w:lang w:val="en-US"/>
        </w:rPr>
        <w:t>签订后</w:t>
      </w:r>
      <w:r>
        <w:rPr>
          <w:rFonts w:hint="eastAsia" w:ascii="仿宋_GB2312" w:hAnsi="仿宋_GB2312" w:eastAsia="仿宋_GB2312" w:cs="仿宋_GB2312"/>
          <w:sz w:val="28"/>
          <w:szCs w:val="28"/>
          <w:u w:val="single"/>
          <w:lang w:val="en-US" w:eastAsia="zh-CN"/>
        </w:rPr>
        <w:t>10</w:t>
      </w:r>
      <w:r>
        <w:rPr>
          <w:rFonts w:hint="eastAsia" w:ascii="仿宋_GB2312" w:hAnsi="仿宋_GB2312" w:eastAsia="仿宋_GB2312" w:cs="仿宋_GB2312"/>
          <w:sz w:val="28"/>
          <w:szCs w:val="28"/>
          <w:lang w:val="en-US"/>
        </w:rPr>
        <w:t>日内，向甲方指定收款账户足额缴纳履约保证金</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w:t>
      </w:r>
    </w:p>
    <w:p w14:paraId="24C69691">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14:paraId="2D307E60">
      <w:pPr>
        <w:pStyle w:val="14"/>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 xml:space="preserve">    </w:t>
      </w:r>
      <w:bookmarkStart w:id="0" w:name="_GoBack"/>
      <w:bookmarkEnd w:id="0"/>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每月15日</w:t>
      </w:r>
      <w:r>
        <w:rPr>
          <w:rFonts w:hint="eastAsia" w:ascii="仿宋_GB2312" w:hAnsi="仿宋_GB2312" w:eastAsia="仿宋_GB2312" w:cs="仿宋_GB2312"/>
          <w:color w:val="auto"/>
          <w:sz w:val="28"/>
          <w:szCs w:val="28"/>
          <w:lang w:val="zh-CN" w:bidi="zh-CN"/>
        </w:rPr>
        <w:t>前交清</w:t>
      </w:r>
      <w:r>
        <w:rPr>
          <w:rFonts w:hint="eastAsia" w:ascii="仿宋_GB2312" w:hAnsi="仿宋_GB2312" w:eastAsia="仿宋_GB2312" w:cs="仿宋_GB2312"/>
          <w:b/>
          <w:bCs/>
          <w:color w:val="auto"/>
          <w:sz w:val="28"/>
          <w:szCs w:val="28"/>
          <w:lang w:val="en-US" w:bidi="zh-CN"/>
        </w:rPr>
        <w:t>次月</w:t>
      </w:r>
      <w:r>
        <w:rPr>
          <w:rFonts w:hint="eastAsia" w:ascii="仿宋_GB2312" w:hAnsi="仿宋_GB2312" w:eastAsia="仿宋_GB2312" w:cs="仿宋_GB2312"/>
          <w:color w:val="auto"/>
          <w:sz w:val="28"/>
          <w:szCs w:val="28"/>
          <w:lang w:val="zh-CN" w:bidi="zh-CN"/>
        </w:rPr>
        <w:t>物业管理费。</w:t>
      </w:r>
    </w:p>
    <w:p w14:paraId="1CAF2EC4">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收到结算单或发票后5日内</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14:paraId="58CDE7F2">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u w:val="none"/>
          <w:lang w:val="en-US"/>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租赁期间，公共水电费、物业管理费、商业辅助服务费、中央空调费、水电公摊费等分摊方式为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按用电量分摊（如有变动另行通知）</w:t>
      </w:r>
      <w:r>
        <w:rPr>
          <w:rFonts w:hint="eastAsia" w:ascii="仿宋_GB2312" w:hAnsi="仿宋_GB2312" w:eastAsia="仿宋_GB2312" w:cs="仿宋_GB2312"/>
          <w:color w:val="auto"/>
          <w:sz w:val="28"/>
          <w:szCs w:val="28"/>
          <w:u w:val="none"/>
          <w:lang w:val="en-US" w:eastAsia="zh-CN"/>
        </w:rPr>
        <w:t>。</w:t>
      </w:r>
    </w:p>
    <w:p w14:paraId="1B3D1EF1">
      <w:pPr>
        <w:pStyle w:val="1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14:paraId="4250DD0A">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14:paraId="528BAB0C">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14:paraId="6AFEF9D5">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14:paraId="316639C0">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14:paraId="0A3E45DD">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14:paraId="248EDBEE">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14:paraId="1ED244C9">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14:paraId="362F9E5B">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14:paraId="55EAE362">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14:paraId="7421CE2C">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w:t>
      </w:r>
    </w:p>
    <w:p w14:paraId="1FBBB09C">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single"/>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14:paraId="03A3BA5C">
      <w:pPr>
        <w:spacing w:line="360" w:lineRule="exact"/>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（正文结束</w:t>
      </w:r>
      <w:r>
        <w:rPr>
          <w:rFonts w:hint="eastAsia" w:ascii="仿宋_GB2312" w:hAnsi="仿宋_GB2312" w:eastAsia="仿宋_GB2312" w:cs="仿宋_GB2312"/>
          <w:bCs/>
          <w:sz w:val="28"/>
          <w:szCs w:val="28"/>
          <w:lang w:eastAsia="zh-CN"/>
        </w:rPr>
        <w:t>）</w:t>
      </w:r>
    </w:p>
    <w:p w14:paraId="79906050">
      <w:pPr>
        <w:spacing w:line="360" w:lineRule="exact"/>
        <w:rPr>
          <w:rFonts w:ascii="仿宋_GB2312" w:hAnsi="仿宋_GB2312" w:eastAsia="仿宋_GB2312" w:cs="仿宋_GB2312"/>
          <w:bCs/>
        </w:rPr>
      </w:pPr>
    </w:p>
    <w:p w14:paraId="136D79F3">
      <w:pPr>
        <w:spacing w:line="360" w:lineRule="exact"/>
        <w:rPr>
          <w:rFonts w:ascii="仿宋_GB2312" w:hAnsi="仿宋_GB2312" w:eastAsia="仿宋_GB2312" w:cs="仿宋_GB2312"/>
          <w:bCs/>
        </w:rPr>
      </w:pPr>
    </w:p>
    <w:p w14:paraId="6EE1B1B9">
      <w:pPr>
        <w:spacing w:line="360" w:lineRule="exact"/>
        <w:rPr>
          <w:rFonts w:ascii="仿宋_GB2312" w:hAnsi="仿宋_GB2312" w:eastAsia="仿宋_GB2312" w:cs="仿宋_GB2312"/>
          <w:bCs/>
        </w:rPr>
      </w:pPr>
    </w:p>
    <w:p w14:paraId="22C39D68">
      <w:pPr>
        <w:spacing w:line="360" w:lineRule="exact"/>
        <w:rPr>
          <w:rFonts w:ascii="仿宋_GB2312" w:hAnsi="仿宋_GB2312" w:eastAsia="仿宋_GB2312" w:cs="仿宋_GB2312"/>
          <w:bCs/>
        </w:rPr>
      </w:pPr>
    </w:p>
    <w:p w14:paraId="68DA17B1">
      <w:pPr>
        <w:spacing w:line="360" w:lineRule="exact"/>
        <w:rPr>
          <w:rFonts w:ascii="仿宋_GB2312" w:hAnsi="仿宋_GB2312" w:eastAsia="仿宋_GB2312" w:cs="仿宋_GB2312"/>
          <w:bCs/>
        </w:rPr>
      </w:pPr>
    </w:p>
    <w:p w14:paraId="100BC333">
      <w:pPr>
        <w:spacing w:line="360" w:lineRule="exact"/>
        <w:rPr>
          <w:rFonts w:ascii="仿宋_GB2312" w:hAnsi="仿宋_GB2312" w:eastAsia="仿宋_GB2312" w:cs="仿宋_GB2312"/>
          <w:bCs/>
        </w:rPr>
      </w:pPr>
    </w:p>
    <w:p w14:paraId="476D371F">
      <w:pPr>
        <w:spacing w:line="360" w:lineRule="exact"/>
        <w:rPr>
          <w:rFonts w:ascii="仿宋_GB2312" w:hAnsi="仿宋_GB2312" w:eastAsia="仿宋_GB2312" w:cs="仿宋_GB2312"/>
          <w:bCs/>
        </w:rPr>
      </w:pPr>
    </w:p>
    <w:p w14:paraId="1ADB5863">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14:paraId="6B6224F5">
      <w:pPr>
        <w:spacing w:line="360" w:lineRule="exact"/>
        <w:rPr>
          <w:rFonts w:hint="eastAsia" w:ascii="仿宋_GB2312" w:hAnsi="仿宋_GB2312" w:eastAsia="仿宋_GB2312" w:cs="仿宋_GB2312"/>
          <w:bCs/>
        </w:rPr>
      </w:pPr>
    </w:p>
    <w:p w14:paraId="45C62BD9">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14:paraId="3DF8084C">
      <w:pPr>
        <w:pStyle w:val="13"/>
        <w:rPr>
          <w:bCs/>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A2E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248647F8">
            <w:pPr>
              <w:pStyle w:val="13"/>
              <w:widowControl w:val="0"/>
              <w:adjustRightInd w:val="0"/>
              <w:snapToGrid w:val="0"/>
              <w:spacing w:line="520" w:lineRule="exact"/>
              <w:jc w:val="both"/>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 xml:space="preserve">  </w:t>
            </w:r>
          </w:p>
          <w:p w14:paraId="286EAFF4">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130F0673">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729E694B">
            <w:pPr>
              <w:widowControl w:val="0"/>
              <w:spacing w:line="360" w:lineRule="exact"/>
              <w:jc w:val="both"/>
              <w:rPr>
                <w:rFonts w:ascii="仿宋_GB2312" w:hAnsi="仿宋" w:eastAsia="仿宋_GB2312"/>
                <w:color w:val="000000"/>
              </w:rPr>
            </w:pPr>
          </w:p>
          <w:p w14:paraId="5E71043F">
            <w:pPr>
              <w:widowControl w:val="0"/>
              <w:spacing w:line="360" w:lineRule="exact"/>
              <w:jc w:val="both"/>
              <w:rPr>
                <w:rFonts w:ascii="仿宋_GB2312" w:hAnsi="仿宋" w:eastAsia="仿宋_GB2312"/>
                <w:color w:val="000000"/>
              </w:rPr>
            </w:pPr>
          </w:p>
          <w:p w14:paraId="34DEFB33">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14:paraId="72102628">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14:paraId="6B07F25D">
            <w:pPr>
              <w:widowControl w:val="0"/>
              <w:tabs>
                <w:tab w:val="left" w:pos="1800"/>
              </w:tabs>
              <w:spacing w:line="360" w:lineRule="exact"/>
              <w:jc w:val="both"/>
              <w:rPr>
                <w:rFonts w:ascii="仿宋_GB2312" w:hAnsi="仿宋_GB2312" w:eastAsia="仿宋_GB2312" w:cs="仿宋_GB2312"/>
                <w:b/>
                <w:bCs/>
                <w:kern w:val="2"/>
                <w:sz w:val="28"/>
                <w:szCs w:val="28"/>
                <w:lang w:bidi="zh-CN"/>
              </w:rPr>
            </w:pPr>
          </w:p>
          <w:p w14:paraId="0F3933D0">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14:paraId="567527DB">
            <w:pPr>
              <w:pStyle w:val="13"/>
              <w:widowControl w:val="0"/>
              <w:adjustRightInd w:val="0"/>
              <w:snapToGrid w:val="0"/>
              <w:spacing w:line="520" w:lineRule="exact"/>
              <w:ind w:firstLine="281" w:firstLineChars="100"/>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4CDAAD15">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2C5359F2">
            <w:pPr>
              <w:pStyle w:val="13"/>
              <w:widowControl w:val="0"/>
              <w:adjustRightInd w:val="0"/>
              <w:snapToGrid w:val="0"/>
              <w:spacing w:line="520" w:lineRule="exact"/>
              <w:ind w:firstLine="281" w:firstLineChars="100"/>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0FC37C6F">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14:paraId="58637ADC">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4CDDFB19">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6B49D38A">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0C87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14:paraId="4C428354">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1" w:type="dxa"/>
            <w:tcBorders>
              <w:tl2br w:val="nil"/>
              <w:tr2bl w:val="nil"/>
            </w:tcBorders>
          </w:tcPr>
          <w:p w14:paraId="60B9A081">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1E13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256FD11F">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14:paraId="6EEF1FE9">
            <w:pPr>
              <w:pStyle w:val="1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14:paraId="2FD655FF">
      <w:pPr>
        <w:pStyle w:val="13"/>
        <w:adjustRightInd w:val="0"/>
        <w:snapToGrid w:val="0"/>
        <w:spacing w:line="520" w:lineRule="exact"/>
        <w:rPr>
          <w:rFonts w:ascii="仿宋" w:hAnsi="仿宋" w:eastAsia="仿宋" w:cs="仿宋"/>
          <w:sz w:val="32"/>
          <w:szCs w:val="32"/>
          <w:lang w:val="en-US"/>
        </w:rPr>
      </w:pPr>
    </w:p>
    <w:p w14:paraId="5EFE16AC">
      <w:pPr>
        <w:rPr>
          <w:rFonts w:ascii="仿宋" w:hAnsi="仿宋" w:eastAsia="仿宋" w:cs="仿宋"/>
          <w:sz w:val="32"/>
          <w:szCs w:val="32"/>
          <w:lang w:bidi="zh-CN"/>
        </w:rPr>
      </w:pPr>
    </w:p>
    <w:p w14:paraId="0BE72782">
      <w:pPr>
        <w:rPr>
          <w:rFonts w:ascii="仿宋" w:hAnsi="仿宋" w:eastAsia="仿宋" w:cs="仿宋"/>
          <w:sz w:val="32"/>
          <w:szCs w:val="32"/>
          <w:lang w:bidi="zh-CN"/>
        </w:rPr>
      </w:pPr>
    </w:p>
    <w:p w14:paraId="3125EF96">
      <w:pPr>
        <w:rPr>
          <w:rFonts w:ascii="仿宋" w:hAnsi="仿宋" w:eastAsia="仿宋" w:cs="仿宋"/>
          <w:sz w:val="32"/>
          <w:szCs w:val="32"/>
          <w:lang w:bidi="zh-CN"/>
        </w:rPr>
      </w:pPr>
    </w:p>
    <w:p w14:paraId="084FEF3E">
      <w:pPr>
        <w:rPr>
          <w:rFonts w:ascii="仿宋" w:hAnsi="仿宋" w:eastAsia="仿宋" w:cs="仿宋"/>
          <w:sz w:val="32"/>
          <w:szCs w:val="32"/>
          <w:lang w:bidi="zh-CN"/>
        </w:rPr>
      </w:pPr>
    </w:p>
    <w:p w14:paraId="13BF9B9A">
      <w:pPr>
        <w:rPr>
          <w:rFonts w:ascii="仿宋" w:hAnsi="仿宋" w:eastAsia="仿宋" w:cs="仿宋"/>
          <w:sz w:val="32"/>
          <w:szCs w:val="32"/>
          <w:lang w:bidi="zh-CN"/>
        </w:rPr>
      </w:pPr>
    </w:p>
    <w:p w14:paraId="5ADD7330">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26AC44-1735-4A2A-87B9-614B7D142E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2" w:fontKey="{3D5893C9-1F4B-403A-84FD-75028C6D17A2}"/>
  </w:font>
  <w:font w:name="方正粗黑宋简体">
    <w:altName w:val="宋体"/>
    <w:panose1 w:val="02000000000000000000"/>
    <w:charset w:val="86"/>
    <w:family w:val="auto"/>
    <w:pitch w:val="default"/>
    <w:sig w:usb0="00000000" w:usb1="00000000" w:usb2="00000012" w:usb3="00000000" w:csb0="00040001" w:csb1="00000000"/>
    <w:embedRegular r:id="rId3" w:fontKey="{6918BC1E-E675-4A5E-9ED7-CD60557E99C5}"/>
  </w:font>
  <w:font w:name="方正小标宋简体">
    <w:panose1 w:val="03000509000000000000"/>
    <w:charset w:val="86"/>
    <w:family w:val="auto"/>
    <w:pitch w:val="default"/>
    <w:sig w:usb0="00000001" w:usb1="080E0000" w:usb2="00000000" w:usb3="00000000" w:csb0="00040000" w:csb1="00000000"/>
    <w:embedRegular r:id="rId4" w:fontKey="{8A0D5BD6-29A3-4CB6-98C9-D76BA28A4E40}"/>
  </w:font>
  <w:font w:name="仿宋">
    <w:panose1 w:val="02010609060101010101"/>
    <w:charset w:val="86"/>
    <w:family w:val="modern"/>
    <w:pitch w:val="default"/>
    <w:sig w:usb0="800002BF" w:usb1="38CF7CFA" w:usb2="00000016" w:usb3="00000000" w:csb0="00040001" w:csb1="00000000"/>
    <w:embedRegular r:id="rId5" w:fontKey="{65A99754-B85B-48CD-AB3F-C57B36607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1AC7">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FECC1">
                          <w:pPr>
                            <w:pStyle w:val="15"/>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B5FECC1">
                    <w:pPr>
                      <w:pStyle w:val="15"/>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0BB59">
                          <w:pPr>
                            <w:pStyle w:val="15"/>
                          </w:pPr>
                        </w:p>
                        <w:p w14:paraId="6E84FD3B">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3E0BB59">
                    <w:pPr>
                      <w:pStyle w:val="15"/>
                    </w:pPr>
                  </w:p>
                  <w:p w14:paraId="6E84FD3B">
                    <w:pPr>
                      <w:pStyle w:val="1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D4D0">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B1D2">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D247">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179D">
    <w:pPr>
      <w:pStyle w:val="16"/>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2001">
    <w:pPr>
      <w:pStyle w:val="16"/>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NjY0YjJkZWNhNDk2MmJkZDU2YmMwZmEzZGI5OTc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9637F"/>
    <w:rsid w:val="00DC33EF"/>
    <w:rsid w:val="00E45030"/>
    <w:rsid w:val="00E573CE"/>
    <w:rsid w:val="00EC61B7"/>
    <w:rsid w:val="00EF5B7E"/>
    <w:rsid w:val="00F83E93"/>
    <w:rsid w:val="00FF122F"/>
    <w:rsid w:val="01FB1F0B"/>
    <w:rsid w:val="024555CD"/>
    <w:rsid w:val="02775CAF"/>
    <w:rsid w:val="03533C82"/>
    <w:rsid w:val="03C36211"/>
    <w:rsid w:val="03FB5C69"/>
    <w:rsid w:val="04680F5E"/>
    <w:rsid w:val="04E225CF"/>
    <w:rsid w:val="04F44C47"/>
    <w:rsid w:val="05241534"/>
    <w:rsid w:val="05912D5B"/>
    <w:rsid w:val="078141D0"/>
    <w:rsid w:val="083076E8"/>
    <w:rsid w:val="088A7309"/>
    <w:rsid w:val="0A693642"/>
    <w:rsid w:val="0AB729C2"/>
    <w:rsid w:val="0B2F612F"/>
    <w:rsid w:val="0B752DEE"/>
    <w:rsid w:val="0B9B14E3"/>
    <w:rsid w:val="0E565F93"/>
    <w:rsid w:val="0E76785B"/>
    <w:rsid w:val="0EA036D8"/>
    <w:rsid w:val="0EFF44A4"/>
    <w:rsid w:val="0F107545"/>
    <w:rsid w:val="0FD03F70"/>
    <w:rsid w:val="0FF3329C"/>
    <w:rsid w:val="107B7305"/>
    <w:rsid w:val="138666FA"/>
    <w:rsid w:val="139F287D"/>
    <w:rsid w:val="13FE2DBE"/>
    <w:rsid w:val="15F91A65"/>
    <w:rsid w:val="16097D6D"/>
    <w:rsid w:val="16B16719"/>
    <w:rsid w:val="179A4700"/>
    <w:rsid w:val="18664195"/>
    <w:rsid w:val="188A0ED1"/>
    <w:rsid w:val="18A63422"/>
    <w:rsid w:val="199572BE"/>
    <w:rsid w:val="1A445071"/>
    <w:rsid w:val="1A643454"/>
    <w:rsid w:val="1A7243D0"/>
    <w:rsid w:val="1AF965BF"/>
    <w:rsid w:val="1B4B07B2"/>
    <w:rsid w:val="1CA73D07"/>
    <w:rsid w:val="1CE1043B"/>
    <w:rsid w:val="1D4D601B"/>
    <w:rsid w:val="1D733446"/>
    <w:rsid w:val="1E9752F6"/>
    <w:rsid w:val="1F032AF9"/>
    <w:rsid w:val="1F5B400E"/>
    <w:rsid w:val="20EE7AD6"/>
    <w:rsid w:val="216130E8"/>
    <w:rsid w:val="24BF09FB"/>
    <w:rsid w:val="25A26E3F"/>
    <w:rsid w:val="264A3043"/>
    <w:rsid w:val="265B4C56"/>
    <w:rsid w:val="278A1FB8"/>
    <w:rsid w:val="27D15D42"/>
    <w:rsid w:val="29267C11"/>
    <w:rsid w:val="29BA09BF"/>
    <w:rsid w:val="2A0C0ACC"/>
    <w:rsid w:val="2A5343BE"/>
    <w:rsid w:val="2B054BBC"/>
    <w:rsid w:val="2CA71661"/>
    <w:rsid w:val="2CF631F1"/>
    <w:rsid w:val="2D680161"/>
    <w:rsid w:val="2D9D62FF"/>
    <w:rsid w:val="2DBE0E35"/>
    <w:rsid w:val="2E7C162A"/>
    <w:rsid w:val="2F7844EE"/>
    <w:rsid w:val="30F64CF8"/>
    <w:rsid w:val="31517C9E"/>
    <w:rsid w:val="31980B93"/>
    <w:rsid w:val="320A794F"/>
    <w:rsid w:val="331C7B85"/>
    <w:rsid w:val="338903B5"/>
    <w:rsid w:val="357F3EE6"/>
    <w:rsid w:val="358E095B"/>
    <w:rsid w:val="379353D7"/>
    <w:rsid w:val="381A6FDC"/>
    <w:rsid w:val="38CA6691"/>
    <w:rsid w:val="39FC5F16"/>
    <w:rsid w:val="3A6A521B"/>
    <w:rsid w:val="3AF833AE"/>
    <w:rsid w:val="3B247FAC"/>
    <w:rsid w:val="3B28655C"/>
    <w:rsid w:val="3B875E3D"/>
    <w:rsid w:val="3C726E71"/>
    <w:rsid w:val="3CB12FD6"/>
    <w:rsid w:val="3D5861B7"/>
    <w:rsid w:val="3DBB7EA6"/>
    <w:rsid w:val="3DE87A12"/>
    <w:rsid w:val="3E7528BB"/>
    <w:rsid w:val="3F283B85"/>
    <w:rsid w:val="3FC273B7"/>
    <w:rsid w:val="406B1E73"/>
    <w:rsid w:val="40D23740"/>
    <w:rsid w:val="41B86DE1"/>
    <w:rsid w:val="41F63FB2"/>
    <w:rsid w:val="42141E27"/>
    <w:rsid w:val="42A42166"/>
    <w:rsid w:val="42EF105C"/>
    <w:rsid w:val="43765775"/>
    <w:rsid w:val="4588349D"/>
    <w:rsid w:val="470D21EF"/>
    <w:rsid w:val="47383F98"/>
    <w:rsid w:val="483725D2"/>
    <w:rsid w:val="483E6A1B"/>
    <w:rsid w:val="4893466E"/>
    <w:rsid w:val="48DB7EF9"/>
    <w:rsid w:val="495C7CDB"/>
    <w:rsid w:val="49DB0DFC"/>
    <w:rsid w:val="4A3D10C9"/>
    <w:rsid w:val="4A612258"/>
    <w:rsid w:val="4A7052D3"/>
    <w:rsid w:val="4A80317D"/>
    <w:rsid w:val="4A9D2593"/>
    <w:rsid w:val="4B575B2B"/>
    <w:rsid w:val="4B886687"/>
    <w:rsid w:val="4BF80CC6"/>
    <w:rsid w:val="4C3C7696"/>
    <w:rsid w:val="4D666C69"/>
    <w:rsid w:val="4D7D4721"/>
    <w:rsid w:val="4EDB463D"/>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FA1579"/>
    <w:rsid w:val="58B5694B"/>
    <w:rsid w:val="58CC7140"/>
    <w:rsid w:val="5A3101A4"/>
    <w:rsid w:val="5AD13335"/>
    <w:rsid w:val="5CDD00DE"/>
    <w:rsid w:val="5D6F6885"/>
    <w:rsid w:val="5D6F7A58"/>
    <w:rsid w:val="5DE6548E"/>
    <w:rsid w:val="5E2E46A2"/>
    <w:rsid w:val="5E882DB5"/>
    <w:rsid w:val="5EF34B27"/>
    <w:rsid w:val="5FC27984"/>
    <w:rsid w:val="603F0E92"/>
    <w:rsid w:val="60B776D2"/>
    <w:rsid w:val="60E25E13"/>
    <w:rsid w:val="61B95CDD"/>
    <w:rsid w:val="61D9511C"/>
    <w:rsid w:val="6241366D"/>
    <w:rsid w:val="62435104"/>
    <w:rsid w:val="64E42894"/>
    <w:rsid w:val="64F31399"/>
    <w:rsid w:val="65484516"/>
    <w:rsid w:val="66424F68"/>
    <w:rsid w:val="667B76AF"/>
    <w:rsid w:val="66FD379F"/>
    <w:rsid w:val="67774965"/>
    <w:rsid w:val="677A0A3F"/>
    <w:rsid w:val="67807922"/>
    <w:rsid w:val="67F105D6"/>
    <w:rsid w:val="686260EF"/>
    <w:rsid w:val="6A981280"/>
    <w:rsid w:val="6B1E2737"/>
    <w:rsid w:val="6B5F0275"/>
    <w:rsid w:val="6BBB1265"/>
    <w:rsid w:val="6BC1777D"/>
    <w:rsid w:val="6BF13DF5"/>
    <w:rsid w:val="6C2356F8"/>
    <w:rsid w:val="6C447E55"/>
    <w:rsid w:val="6CA46EA3"/>
    <w:rsid w:val="6CD63C26"/>
    <w:rsid w:val="6CF4245D"/>
    <w:rsid w:val="6FAD7B17"/>
    <w:rsid w:val="6FED6232"/>
    <w:rsid w:val="6FF37A34"/>
    <w:rsid w:val="70124C5D"/>
    <w:rsid w:val="70542E3C"/>
    <w:rsid w:val="70EC0E10"/>
    <w:rsid w:val="710067D8"/>
    <w:rsid w:val="71171BFF"/>
    <w:rsid w:val="71291FBC"/>
    <w:rsid w:val="71890E73"/>
    <w:rsid w:val="71E84961"/>
    <w:rsid w:val="723D28F8"/>
    <w:rsid w:val="723F4CE4"/>
    <w:rsid w:val="726114C2"/>
    <w:rsid w:val="72787EF9"/>
    <w:rsid w:val="738239FA"/>
    <w:rsid w:val="738337DA"/>
    <w:rsid w:val="73A10DCE"/>
    <w:rsid w:val="74205DB0"/>
    <w:rsid w:val="74296E34"/>
    <w:rsid w:val="74B97662"/>
    <w:rsid w:val="754F2CBF"/>
    <w:rsid w:val="75AA0D47"/>
    <w:rsid w:val="75FB1645"/>
    <w:rsid w:val="760C2F7A"/>
    <w:rsid w:val="76D36F81"/>
    <w:rsid w:val="7763590D"/>
    <w:rsid w:val="77D57649"/>
    <w:rsid w:val="7A811637"/>
    <w:rsid w:val="7B3E1FA9"/>
    <w:rsid w:val="7BB76690"/>
    <w:rsid w:val="7D5028E1"/>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2"/>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3"/>
    <w:semiHidden/>
    <w:unhideWhenUsed/>
    <w:qFormat/>
    <w:uiPriority w:val="9"/>
    <w:pPr>
      <w:spacing w:before="240" w:after="60"/>
      <w:outlineLvl w:val="5"/>
    </w:pPr>
    <w:rPr>
      <w:rFonts w:cstheme="majorBidi"/>
      <w:b/>
      <w:bCs/>
      <w:sz w:val="22"/>
      <w:szCs w:val="22"/>
    </w:rPr>
  </w:style>
  <w:style w:type="paragraph" w:styleId="8">
    <w:name w:val="heading 7"/>
    <w:basedOn w:val="1"/>
    <w:next w:val="1"/>
    <w:link w:val="34"/>
    <w:semiHidden/>
    <w:unhideWhenUsed/>
    <w:qFormat/>
    <w:uiPriority w:val="9"/>
    <w:pPr>
      <w:spacing w:before="240" w:after="60"/>
      <w:outlineLvl w:val="6"/>
    </w:pPr>
    <w:rPr>
      <w:rFonts w:cstheme="majorBidi"/>
    </w:rPr>
  </w:style>
  <w:style w:type="paragraph" w:styleId="9">
    <w:name w:val="heading 8"/>
    <w:basedOn w:val="1"/>
    <w:next w:val="1"/>
    <w:link w:val="35"/>
    <w:semiHidden/>
    <w:unhideWhenUsed/>
    <w:qFormat/>
    <w:uiPriority w:val="9"/>
    <w:pPr>
      <w:spacing w:before="240" w:after="60"/>
      <w:outlineLvl w:val="7"/>
    </w:pPr>
    <w:rPr>
      <w:rFonts w:cstheme="majorBidi"/>
      <w:i/>
      <w:iCs/>
    </w:rPr>
  </w:style>
  <w:style w:type="paragraph" w:styleId="10">
    <w:name w:val="heading 9"/>
    <w:basedOn w:val="1"/>
    <w:next w:val="1"/>
    <w:link w:val="3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qFormat/>
    <w:uiPriority w:val="1"/>
    <w:rPr>
      <w:rFonts w:ascii="宋体" w:hAnsi="宋体" w:cs="宋体"/>
      <w:lang w:val="zh-CN" w:bidi="zh-CN"/>
    </w:r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Subtitle"/>
    <w:basedOn w:val="1"/>
    <w:next w:val="1"/>
    <w:link w:val="38"/>
    <w:qFormat/>
    <w:uiPriority w:val="11"/>
    <w:pPr>
      <w:spacing w:after="60"/>
      <w:jc w:val="center"/>
      <w:outlineLvl w:val="1"/>
    </w:pPr>
    <w:rPr>
      <w:rFonts w:asciiTheme="majorHAnsi" w:hAnsiTheme="majorHAnsi" w:eastAsiaTheme="majorEastAsia" w:cstheme="majorBidi"/>
    </w:rPr>
  </w:style>
  <w:style w:type="paragraph" w:styleId="18">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19">
    <w:name w:val="Body Text First Indent"/>
    <w:basedOn w:val="13"/>
    <w:next w:val="1"/>
    <w:qFormat/>
    <w:uiPriority w:val="0"/>
    <w:pPr>
      <w:ind w:firstLine="10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rFonts w:asciiTheme="minorHAnsi" w:hAnsiTheme="minorHAnsi"/>
      <w:b/>
      <w:i/>
      <w:iCs/>
    </w:rPr>
  </w:style>
  <w:style w:type="paragraph" w:customStyle="1" w:styleId="25">
    <w:name w:val="正文文本缩进1"/>
    <w:basedOn w:val="1"/>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2"/>
    <w:link w:val="26"/>
    <w:qFormat/>
    <w:uiPriority w:val="1"/>
    <w:rPr>
      <w:sz w:val="24"/>
      <w:szCs w:val="32"/>
    </w:rPr>
  </w:style>
  <w:style w:type="character" w:customStyle="1" w:styleId="28">
    <w:name w:val="标题 1 字符"/>
    <w:basedOn w:val="22"/>
    <w:link w:val="2"/>
    <w:qFormat/>
    <w:uiPriority w:val="9"/>
    <w:rPr>
      <w:rFonts w:asciiTheme="majorHAnsi" w:hAnsiTheme="majorHAnsi" w:eastAsiaTheme="majorEastAsia" w:cstheme="majorBidi"/>
      <w:b/>
      <w:bCs/>
      <w:kern w:val="32"/>
      <w:sz w:val="32"/>
      <w:szCs w:val="32"/>
    </w:rPr>
  </w:style>
  <w:style w:type="character" w:customStyle="1" w:styleId="29">
    <w:name w:val="标题 2 字符"/>
    <w:basedOn w:val="22"/>
    <w:link w:val="3"/>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2"/>
    <w:link w:val="4"/>
    <w:semiHidden/>
    <w:qFormat/>
    <w:uiPriority w:val="9"/>
    <w:rPr>
      <w:rFonts w:asciiTheme="majorHAnsi" w:hAnsiTheme="majorHAnsi" w:eastAsiaTheme="majorEastAsia" w:cstheme="majorBidi"/>
      <w:b/>
      <w:bCs/>
      <w:sz w:val="26"/>
      <w:szCs w:val="26"/>
    </w:rPr>
  </w:style>
  <w:style w:type="character" w:customStyle="1" w:styleId="31">
    <w:name w:val="标题 4 字符"/>
    <w:basedOn w:val="22"/>
    <w:link w:val="5"/>
    <w:semiHidden/>
    <w:qFormat/>
    <w:uiPriority w:val="9"/>
    <w:rPr>
      <w:rFonts w:cstheme="majorBidi"/>
      <w:b/>
      <w:bCs/>
      <w:sz w:val="28"/>
      <w:szCs w:val="28"/>
    </w:rPr>
  </w:style>
  <w:style w:type="character" w:customStyle="1" w:styleId="32">
    <w:name w:val="标题 5 字符"/>
    <w:basedOn w:val="22"/>
    <w:link w:val="6"/>
    <w:semiHidden/>
    <w:qFormat/>
    <w:uiPriority w:val="9"/>
    <w:rPr>
      <w:rFonts w:cstheme="majorBidi"/>
      <w:b/>
      <w:bCs/>
      <w:i/>
      <w:iCs/>
      <w:sz w:val="26"/>
      <w:szCs w:val="26"/>
    </w:rPr>
  </w:style>
  <w:style w:type="character" w:customStyle="1" w:styleId="33">
    <w:name w:val="标题 6 字符"/>
    <w:basedOn w:val="22"/>
    <w:link w:val="7"/>
    <w:semiHidden/>
    <w:qFormat/>
    <w:uiPriority w:val="9"/>
    <w:rPr>
      <w:rFonts w:cstheme="majorBidi"/>
      <w:b/>
      <w:bCs/>
    </w:rPr>
  </w:style>
  <w:style w:type="character" w:customStyle="1" w:styleId="34">
    <w:name w:val="标题 7 字符"/>
    <w:basedOn w:val="22"/>
    <w:link w:val="8"/>
    <w:semiHidden/>
    <w:qFormat/>
    <w:uiPriority w:val="9"/>
    <w:rPr>
      <w:rFonts w:cstheme="majorBidi"/>
      <w:sz w:val="24"/>
      <w:szCs w:val="24"/>
    </w:rPr>
  </w:style>
  <w:style w:type="character" w:customStyle="1" w:styleId="35">
    <w:name w:val="标题 8 字符"/>
    <w:basedOn w:val="22"/>
    <w:link w:val="9"/>
    <w:semiHidden/>
    <w:qFormat/>
    <w:uiPriority w:val="9"/>
    <w:rPr>
      <w:rFonts w:cstheme="majorBidi"/>
      <w:i/>
      <w:iCs/>
      <w:sz w:val="24"/>
      <w:szCs w:val="24"/>
    </w:rPr>
  </w:style>
  <w:style w:type="character" w:customStyle="1" w:styleId="36">
    <w:name w:val="标题 9 字符"/>
    <w:basedOn w:val="22"/>
    <w:link w:val="10"/>
    <w:semiHidden/>
    <w:qFormat/>
    <w:uiPriority w:val="9"/>
    <w:rPr>
      <w:rFonts w:asciiTheme="majorHAnsi" w:hAnsiTheme="majorHAnsi" w:eastAsiaTheme="majorEastAsia" w:cstheme="majorBidi"/>
    </w:rPr>
  </w:style>
  <w:style w:type="character" w:customStyle="1" w:styleId="37">
    <w:name w:val="标题 字符"/>
    <w:basedOn w:val="22"/>
    <w:link w:val="18"/>
    <w:qFormat/>
    <w:uiPriority w:val="10"/>
    <w:rPr>
      <w:rFonts w:asciiTheme="majorHAnsi" w:hAnsiTheme="majorHAnsi" w:eastAsiaTheme="majorEastAsia" w:cstheme="majorBidi"/>
      <w:b/>
      <w:bCs/>
      <w:kern w:val="28"/>
      <w:sz w:val="32"/>
      <w:szCs w:val="32"/>
    </w:rPr>
  </w:style>
  <w:style w:type="character" w:customStyle="1" w:styleId="38">
    <w:name w:val="副标题 字符"/>
    <w:basedOn w:val="22"/>
    <w:link w:val="17"/>
    <w:qFormat/>
    <w:uiPriority w:val="11"/>
    <w:rPr>
      <w:rFonts w:asciiTheme="majorHAnsi" w:hAnsiTheme="majorHAnsi" w:eastAsiaTheme="majorEastAsia" w:cstheme="majorBidi"/>
      <w:sz w:val="24"/>
      <w:szCs w:val="24"/>
    </w:rPr>
  </w:style>
  <w:style w:type="paragraph" w:styleId="39">
    <w:name w:val="Quote"/>
    <w:basedOn w:val="1"/>
    <w:next w:val="1"/>
    <w:link w:val="40"/>
    <w:qFormat/>
    <w:uiPriority w:val="29"/>
    <w:rPr>
      <w:i/>
    </w:rPr>
  </w:style>
  <w:style w:type="character" w:customStyle="1" w:styleId="40">
    <w:name w:val="引用 字符"/>
    <w:basedOn w:val="22"/>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字符"/>
    <w:basedOn w:val="22"/>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2"/>
    <w:qFormat/>
    <w:uiPriority w:val="21"/>
    <w:rPr>
      <w:b/>
      <w:i/>
      <w:sz w:val="24"/>
      <w:szCs w:val="24"/>
      <w:u w:val="single"/>
    </w:rPr>
  </w:style>
  <w:style w:type="character" w:customStyle="1" w:styleId="45">
    <w:name w:val="不明显参考1"/>
    <w:basedOn w:val="22"/>
    <w:qFormat/>
    <w:uiPriority w:val="31"/>
    <w:rPr>
      <w:sz w:val="24"/>
      <w:szCs w:val="24"/>
      <w:u w:val="single"/>
    </w:rPr>
  </w:style>
  <w:style w:type="character" w:customStyle="1" w:styleId="46">
    <w:name w:val="明显参考1"/>
    <w:basedOn w:val="22"/>
    <w:qFormat/>
    <w:uiPriority w:val="32"/>
    <w:rPr>
      <w:b/>
      <w:sz w:val="24"/>
      <w:u w:val="single"/>
    </w:rPr>
  </w:style>
  <w:style w:type="character" w:customStyle="1" w:styleId="47">
    <w:name w:val="书籍标题1"/>
    <w:basedOn w:val="22"/>
    <w:qFormat/>
    <w:uiPriority w:val="33"/>
    <w:rPr>
      <w:rFonts w:asciiTheme="majorHAnsi" w:hAnsiTheme="majorHAnsi" w:eastAsiaTheme="majorEastAsia"/>
      <w:b/>
      <w:i/>
      <w:sz w:val="24"/>
      <w:szCs w:val="24"/>
    </w:rPr>
  </w:style>
  <w:style w:type="paragraph" w:customStyle="1" w:styleId="48">
    <w:name w:val="TOC 标题1"/>
    <w:basedOn w:val="2"/>
    <w:next w:val="1"/>
    <w:semiHidden/>
    <w:unhideWhenUsed/>
    <w:qFormat/>
    <w:uiPriority w:val="39"/>
    <w:pPr>
      <w:outlineLvl w:val="9"/>
    </w:pPr>
  </w:style>
  <w:style w:type="paragraph" w:styleId="4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15</Pages>
  <Words>7218</Words>
  <Characters>7472</Characters>
  <Lines>14</Lines>
  <Paragraphs>18</Paragraphs>
  <TotalTime>0</TotalTime>
  <ScaleCrop>false</ScaleCrop>
  <LinksUpToDate>false</LinksUpToDate>
  <CharactersWithSpaces>7934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Smile</cp:lastModifiedBy>
  <cp:lastPrinted>2025-02-08T08:27:00Z</cp:lastPrinted>
  <dcterms:modified xsi:type="dcterms:W3CDTF">2025-11-14T06:54:02Z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E2BABFA162424541B485C4026FBFE969_13</vt:lpwstr>
  </property>
  <property fmtid="{D5CDD505-2E9C-101B-9397-08002B2CF9AE}" pid="4" name="KSOTemplateDocerSaveRecord">
    <vt:lpwstr>eyJoZGlkIjoiNjZlOTk2NDFiMDgyM2M4N2U4NTYzNWUwYjZlZDQ1Y2UiLCJ1c2VySWQiOiI0MDIwNzE2ODUifQ==</vt:lpwstr>
  </property>
</Properties>
</file>