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3B03A">
      <w:pPr>
        <w:ind w:firstLine="880"/>
        <w:rPr>
          <w:sz w:val="44"/>
          <w:szCs w:val="44"/>
        </w:rPr>
      </w:pPr>
    </w:p>
    <w:p w14:paraId="509310C3">
      <w:pPr>
        <w:ind w:firstLine="880"/>
        <w:rPr>
          <w:sz w:val="44"/>
          <w:szCs w:val="44"/>
        </w:rPr>
      </w:pPr>
    </w:p>
    <w:p w14:paraId="0357FF89">
      <w:pPr>
        <w:ind w:firstLine="880"/>
        <w:rPr>
          <w:sz w:val="44"/>
          <w:szCs w:val="44"/>
        </w:rPr>
      </w:pPr>
    </w:p>
    <w:p w14:paraId="1D70D550">
      <w:pPr>
        <w:ind w:firstLine="1364"/>
        <w:jc w:val="center"/>
        <w:rPr>
          <w:rFonts w:ascii="黑体" w:eastAsia="黑体"/>
          <w:b/>
          <w:bCs/>
          <w:spacing w:val="80"/>
          <w:sz w:val="52"/>
          <w:szCs w:val="52"/>
        </w:rPr>
      </w:pPr>
      <w:bookmarkStart w:id="0" w:name="_Hlk182412183"/>
      <w:r>
        <w:rPr>
          <w:rFonts w:hint="eastAsia" w:ascii="黑体" w:eastAsia="黑体"/>
          <w:b/>
          <w:bCs/>
          <w:spacing w:val="80"/>
          <w:sz w:val="52"/>
          <w:szCs w:val="52"/>
        </w:rPr>
        <w:t>公开挂牌竞价转让文件</w:t>
      </w:r>
    </w:p>
    <w:bookmarkEnd w:id="0"/>
    <w:p w14:paraId="3C192207">
      <w:pPr>
        <w:ind w:firstLine="880"/>
        <w:rPr>
          <w:sz w:val="44"/>
          <w:szCs w:val="44"/>
          <w:u w:val="single"/>
        </w:rPr>
      </w:pPr>
      <w:r>
        <w:rPr>
          <w:rFonts w:hint="eastAsia"/>
          <w:sz w:val="44"/>
          <w:szCs w:val="44"/>
          <w:u w:val="single"/>
        </w:rPr>
        <w:t xml:space="preserve">                                      </w:t>
      </w:r>
    </w:p>
    <w:p w14:paraId="6E74E913">
      <w:pPr>
        <w:jc w:val="center"/>
        <w:rPr>
          <w:rFonts w:ascii="宋体" w:hAnsi="宋体"/>
          <w:b/>
          <w:color w:val="000000" w:themeColor="text1"/>
          <w:sz w:val="24"/>
        </w:rPr>
      </w:pPr>
      <w:r>
        <w:rPr>
          <w:rFonts w:hint="eastAsia" w:ascii="宋体" w:hAnsi="宋体"/>
          <w:b/>
          <w:bCs/>
          <w:sz w:val="24"/>
        </w:rPr>
        <w:t>（项目编号：ZR2026-30）</w:t>
      </w:r>
    </w:p>
    <w:p w14:paraId="17301F9E">
      <w:pPr>
        <w:ind w:firstLine="880"/>
        <w:jc w:val="center"/>
        <w:rPr>
          <w:color w:val="000000" w:themeColor="text1"/>
          <w:sz w:val="44"/>
          <w:szCs w:val="44"/>
        </w:rPr>
      </w:pPr>
    </w:p>
    <w:p w14:paraId="2365CE14">
      <w:pPr>
        <w:ind w:firstLine="600"/>
        <w:jc w:val="center"/>
        <w:rPr>
          <w:sz w:val="30"/>
          <w:szCs w:val="30"/>
        </w:rPr>
      </w:pPr>
    </w:p>
    <w:p w14:paraId="658B2F41">
      <w:pPr>
        <w:spacing w:line="360" w:lineRule="exact"/>
        <w:ind w:left="2458" w:leftChars="599" w:hanging="1200" w:hangingChars="500"/>
        <w:rPr>
          <w:rFonts w:asciiTheme="minorEastAsia" w:hAnsiTheme="minorEastAsia" w:eastAsiaTheme="minorEastAsia"/>
          <w:sz w:val="24"/>
        </w:rPr>
      </w:pPr>
      <w:r>
        <w:rPr>
          <w:rFonts w:hint="eastAsia" w:asciiTheme="minorEastAsia" w:hAnsiTheme="minorEastAsia" w:eastAsiaTheme="minorEastAsia"/>
          <w:sz w:val="24"/>
        </w:rPr>
        <w:t>转让标的：</w:t>
      </w:r>
      <w:r>
        <w:rPr>
          <w:rFonts w:hint="eastAsia"/>
          <w:sz w:val="24"/>
        </w:rPr>
        <w:t>龙岩北荣矿业有限责任公司19%股权</w:t>
      </w:r>
    </w:p>
    <w:p w14:paraId="7E293C8D">
      <w:pPr>
        <w:spacing w:line="360" w:lineRule="exact"/>
        <w:ind w:firstLine="1260" w:firstLineChars="525"/>
        <w:rPr>
          <w:rFonts w:asciiTheme="minorEastAsia" w:hAnsiTheme="minorEastAsia" w:eastAsiaTheme="minorEastAsia"/>
          <w:sz w:val="24"/>
        </w:rPr>
      </w:pPr>
      <w:r>
        <w:rPr>
          <w:rFonts w:hint="eastAsia" w:asciiTheme="minorEastAsia" w:hAnsiTheme="minorEastAsia" w:eastAsiaTheme="minorEastAsia"/>
          <w:sz w:val="24"/>
        </w:rPr>
        <w:t>报名截止时间：竞价前一个工作日17：00</w:t>
      </w:r>
    </w:p>
    <w:p w14:paraId="790E9788">
      <w:pPr>
        <w:spacing w:line="360" w:lineRule="exact"/>
        <w:ind w:firstLine="1260" w:firstLineChars="525"/>
        <w:rPr>
          <w:rFonts w:asciiTheme="minorEastAsia" w:hAnsiTheme="minorEastAsia" w:eastAsiaTheme="minorEastAsia"/>
          <w:sz w:val="24"/>
        </w:rPr>
      </w:pPr>
      <w:r>
        <w:rPr>
          <w:rFonts w:hint="eastAsia" w:asciiTheme="minorEastAsia" w:hAnsiTheme="minorEastAsia" w:eastAsiaTheme="minorEastAsia"/>
          <w:sz w:val="24"/>
        </w:rPr>
        <w:t>竞价时间：2026年9月14日</w:t>
      </w:r>
    </w:p>
    <w:p w14:paraId="4D7E1264">
      <w:pPr>
        <w:spacing w:line="360" w:lineRule="exact"/>
        <w:ind w:firstLine="1260" w:firstLineChars="525"/>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竞价地点：</w:t>
      </w:r>
      <w:r>
        <w:rPr>
          <w:rFonts w:hint="eastAsia" w:asciiTheme="minorEastAsia" w:hAnsiTheme="minorEastAsia" w:eastAsiaTheme="minorEastAsia"/>
          <w:color w:val="000000" w:themeColor="text1"/>
          <w:sz w:val="24"/>
          <w:shd w:val="clear" w:color="auto" w:fill="FFFFFF"/>
        </w:rPr>
        <w:t>权益云网络交易平台</w:t>
      </w:r>
    </w:p>
    <w:p w14:paraId="7F94E4A8">
      <w:pPr>
        <w:spacing w:line="360" w:lineRule="exact"/>
        <w:ind w:firstLine="1320" w:firstLineChars="550"/>
        <w:rPr>
          <w:rFonts w:asciiTheme="minorEastAsia" w:hAnsiTheme="minorEastAsia" w:eastAsiaTheme="minorEastAsia"/>
          <w:sz w:val="24"/>
        </w:rPr>
      </w:pPr>
      <w:r>
        <w:rPr>
          <w:rFonts w:hint="eastAsia" w:asciiTheme="minorEastAsia" w:hAnsiTheme="minorEastAsia" w:eastAsiaTheme="minorEastAsia"/>
          <w:sz w:val="24"/>
        </w:rPr>
        <w:t>联系电话：0597-2688591  2688592</w:t>
      </w:r>
    </w:p>
    <w:p w14:paraId="101DB93B">
      <w:pPr>
        <w:spacing w:line="360" w:lineRule="exact"/>
        <w:ind w:firstLine="1320" w:firstLineChars="550"/>
        <w:rPr>
          <w:rFonts w:asciiTheme="minorEastAsia" w:hAnsiTheme="minorEastAsia" w:eastAsiaTheme="minorEastAsia"/>
          <w:color w:val="333333"/>
          <w:spacing w:val="18"/>
          <w:sz w:val="18"/>
          <w:szCs w:val="18"/>
        </w:rPr>
      </w:pPr>
      <w:r>
        <w:rPr>
          <w:rFonts w:hint="eastAsia" w:asciiTheme="minorEastAsia" w:hAnsiTheme="minorEastAsia" w:eastAsiaTheme="minorEastAsia"/>
          <w:sz w:val="24"/>
        </w:rPr>
        <w:t>联系地址：</w:t>
      </w:r>
      <w:r>
        <w:rPr>
          <w:rFonts w:hint="eastAsia" w:asciiTheme="minorEastAsia" w:hAnsiTheme="minorEastAsia" w:eastAsiaTheme="minorEastAsia"/>
          <w:spacing w:val="18"/>
          <w:sz w:val="24"/>
        </w:rPr>
        <w:t>龙岩市莲西路市公共资源交易中心八层</w:t>
      </w:r>
    </w:p>
    <w:p w14:paraId="0721699B">
      <w:pPr>
        <w:spacing w:line="360" w:lineRule="exact"/>
        <w:ind w:firstLine="1320" w:firstLineChars="550"/>
        <w:rPr>
          <w:rFonts w:asciiTheme="minorEastAsia" w:hAnsiTheme="minorEastAsia" w:eastAsiaTheme="minorEastAsia"/>
          <w:color w:val="000000" w:themeColor="text1"/>
          <w:sz w:val="24"/>
        </w:rPr>
      </w:pPr>
      <w:r>
        <w:rPr>
          <w:rFonts w:hint="eastAsia" w:asciiTheme="minorEastAsia" w:hAnsiTheme="minorEastAsia" w:eastAsiaTheme="minorEastAsia"/>
          <w:sz w:val="24"/>
        </w:rPr>
        <w:t>网址：</w:t>
      </w:r>
      <w:r>
        <w:fldChar w:fldCharType="begin"/>
      </w:r>
      <w:r>
        <w:instrText xml:space="preserve"> HYPERLINK "http://www.lycqjy.com" </w:instrText>
      </w:r>
      <w:r>
        <w:fldChar w:fldCharType="separate"/>
      </w:r>
      <w:r>
        <w:rPr>
          <w:rStyle w:val="17"/>
          <w:rFonts w:hint="eastAsia" w:asciiTheme="minorEastAsia" w:hAnsiTheme="minorEastAsia" w:eastAsiaTheme="minorEastAsia"/>
          <w:color w:val="000000" w:themeColor="text1"/>
          <w:sz w:val="24"/>
          <w:u w:val="none"/>
        </w:rPr>
        <w:t>www.lycqjy.com</w:t>
      </w:r>
      <w:r>
        <w:rPr>
          <w:rStyle w:val="17"/>
          <w:rFonts w:hint="eastAsia" w:asciiTheme="minorEastAsia" w:hAnsiTheme="minorEastAsia" w:eastAsiaTheme="minorEastAsia"/>
          <w:color w:val="000000" w:themeColor="text1"/>
          <w:sz w:val="24"/>
          <w:u w:val="none"/>
        </w:rPr>
        <w:fldChar w:fldCharType="end"/>
      </w:r>
      <w:r>
        <w:rPr>
          <w:rFonts w:hint="eastAsia" w:asciiTheme="minorEastAsia" w:hAnsiTheme="minorEastAsia" w:eastAsiaTheme="minorEastAsia"/>
          <w:color w:val="000000" w:themeColor="text1"/>
          <w:sz w:val="24"/>
        </w:rPr>
        <w:t xml:space="preserve">  </w:t>
      </w:r>
      <w:r>
        <w:fldChar w:fldCharType="begin"/>
      </w:r>
      <w:r>
        <w:instrText xml:space="preserve"> HYPERLINK "http://www.lyggzy.com.cn/" </w:instrText>
      </w:r>
      <w:r>
        <w:fldChar w:fldCharType="separate"/>
      </w:r>
      <w:r>
        <w:rPr>
          <w:rStyle w:val="17"/>
          <w:rFonts w:hint="eastAsia" w:asciiTheme="minorEastAsia" w:hAnsiTheme="minorEastAsia" w:eastAsiaTheme="minorEastAsia"/>
          <w:color w:val="000000" w:themeColor="text1"/>
          <w:spacing w:val="18"/>
          <w:sz w:val="24"/>
          <w:u w:val="none"/>
        </w:rPr>
        <w:t>www.lyggzy.com.cn</w:t>
      </w:r>
      <w:r>
        <w:rPr>
          <w:rStyle w:val="17"/>
          <w:rFonts w:hint="eastAsia" w:asciiTheme="minorEastAsia" w:hAnsiTheme="minorEastAsia" w:eastAsiaTheme="minorEastAsia"/>
          <w:color w:val="000000" w:themeColor="text1"/>
          <w:spacing w:val="18"/>
          <w:sz w:val="24"/>
          <w:u w:val="none"/>
        </w:rPr>
        <w:fldChar w:fldCharType="end"/>
      </w:r>
      <w:r>
        <w:rPr>
          <w:rFonts w:hint="eastAsia" w:asciiTheme="minorEastAsia" w:hAnsiTheme="minorEastAsia" w:eastAsiaTheme="minorEastAsia"/>
          <w:color w:val="000000" w:themeColor="text1"/>
          <w:sz w:val="24"/>
        </w:rPr>
        <w:t xml:space="preserve">  </w:t>
      </w:r>
    </w:p>
    <w:p w14:paraId="4BE2E9D5">
      <w:pPr>
        <w:ind w:firstLine="1325" w:firstLineChars="550"/>
        <w:rPr>
          <w:rFonts w:asciiTheme="minorEastAsia" w:hAnsiTheme="minorEastAsia" w:eastAsiaTheme="minorEastAsia"/>
          <w:b/>
          <w:sz w:val="24"/>
        </w:rPr>
      </w:pPr>
    </w:p>
    <w:p w14:paraId="68583CA9">
      <w:pPr>
        <w:ind w:firstLine="1650" w:firstLineChars="550"/>
        <w:rPr>
          <w:sz w:val="30"/>
          <w:szCs w:val="30"/>
        </w:rPr>
      </w:pPr>
    </w:p>
    <w:p w14:paraId="52463E13">
      <w:pPr>
        <w:ind w:firstLine="1650" w:firstLineChars="550"/>
        <w:rPr>
          <w:sz w:val="30"/>
          <w:szCs w:val="30"/>
        </w:rPr>
      </w:pPr>
    </w:p>
    <w:p w14:paraId="6A3B880A">
      <w:pPr>
        <w:ind w:firstLine="600"/>
        <w:rPr>
          <w:sz w:val="30"/>
          <w:szCs w:val="30"/>
          <w:u w:val="single"/>
        </w:rPr>
      </w:pPr>
      <w:r>
        <w:rPr>
          <w:rFonts w:hint="eastAsia"/>
          <w:sz w:val="30"/>
          <w:szCs w:val="30"/>
          <w:u w:val="single"/>
        </w:rPr>
        <w:t xml:space="preserve">                                                      </w:t>
      </w:r>
    </w:p>
    <w:p w14:paraId="55A7D6C9">
      <w:pPr>
        <w:ind w:firstLine="600"/>
        <w:jc w:val="center"/>
        <w:rPr>
          <w:rFonts w:ascii="隶书" w:eastAsia="隶书"/>
          <w:sz w:val="30"/>
          <w:szCs w:val="30"/>
        </w:rPr>
      </w:pPr>
    </w:p>
    <w:p w14:paraId="2B9BAA1A">
      <w:pPr>
        <w:ind w:firstLine="602"/>
        <w:jc w:val="center"/>
        <w:rPr>
          <w:rFonts w:asciiTheme="minorEastAsia" w:hAnsiTheme="minorEastAsia" w:eastAsiaTheme="minorEastAsia"/>
          <w:b/>
          <w:sz w:val="30"/>
          <w:szCs w:val="30"/>
        </w:rPr>
      </w:pPr>
      <w:r>
        <w:rPr>
          <w:rFonts w:hint="eastAsia" w:asciiTheme="minorEastAsia" w:hAnsiTheme="minorEastAsia" w:eastAsiaTheme="minorEastAsia"/>
          <w:b/>
          <w:sz w:val="30"/>
          <w:szCs w:val="30"/>
        </w:rPr>
        <w:t>龙岩市产权交易中心有限公司</w:t>
      </w:r>
    </w:p>
    <w:p w14:paraId="49F5EEE0">
      <w:pPr>
        <w:ind w:firstLine="602"/>
        <w:jc w:val="center"/>
        <w:rPr>
          <w:rFonts w:asciiTheme="minorEastAsia" w:hAnsiTheme="minorEastAsia" w:eastAsiaTheme="minorEastAsia"/>
          <w:b/>
          <w:sz w:val="30"/>
          <w:szCs w:val="30"/>
        </w:rPr>
      </w:pPr>
      <w:r>
        <w:rPr>
          <w:rFonts w:hint="eastAsia" w:asciiTheme="minorEastAsia" w:hAnsiTheme="minorEastAsia" w:eastAsiaTheme="minorEastAsia"/>
          <w:b/>
          <w:sz w:val="30"/>
          <w:szCs w:val="30"/>
        </w:rPr>
        <w:t>二O二六年八月</w:t>
      </w:r>
    </w:p>
    <w:p w14:paraId="2DC6BED2">
      <w:pPr>
        <w:widowControl/>
        <w:jc w:val="left"/>
      </w:pPr>
      <w:r>
        <w:br w:type="page"/>
      </w:r>
    </w:p>
    <w:p w14:paraId="3CF555CE">
      <w:pPr>
        <w:widowControl/>
        <w:jc w:val="left"/>
        <w:rPr>
          <w:b/>
          <w:sz w:val="36"/>
          <w:szCs w:val="36"/>
        </w:rPr>
      </w:pPr>
      <w:r>
        <w:rPr>
          <w:b/>
          <w:sz w:val="36"/>
          <w:szCs w:val="36"/>
        </w:rPr>
        <w:br w:type="page"/>
      </w:r>
    </w:p>
    <w:p w14:paraId="2639BE29">
      <w:pPr>
        <w:jc w:val="left"/>
        <w:rPr>
          <w:b/>
          <w:sz w:val="36"/>
          <w:szCs w:val="36"/>
        </w:rPr>
        <w:sectPr>
          <w:headerReference r:id="rId3" w:type="default"/>
          <w:headerReference r:id="rId4" w:type="even"/>
          <w:pgSz w:w="11906" w:h="16838"/>
          <w:pgMar w:top="1440" w:right="1797" w:bottom="1440" w:left="1797" w:header="851" w:footer="992" w:gutter="0"/>
          <w:cols w:space="425" w:num="1"/>
          <w:docGrid w:type="lines" w:linePitch="312" w:charSpace="0"/>
        </w:sectPr>
      </w:pPr>
    </w:p>
    <w:p w14:paraId="53F3BCA8">
      <w:pPr>
        <w:jc w:val="center"/>
        <w:rPr>
          <w:b/>
          <w:bCs/>
          <w:sz w:val="36"/>
          <w:szCs w:val="36"/>
        </w:rPr>
      </w:pPr>
      <w:r>
        <w:rPr>
          <w:rFonts w:hint="eastAsia"/>
          <w:b/>
          <w:sz w:val="36"/>
          <w:szCs w:val="36"/>
        </w:rPr>
        <w:t>挂牌</w:t>
      </w:r>
      <w:r>
        <w:rPr>
          <w:rFonts w:hint="eastAsia"/>
          <w:b/>
          <w:bCs/>
          <w:sz w:val="36"/>
          <w:szCs w:val="36"/>
        </w:rPr>
        <w:t>竞价转让文件清单</w:t>
      </w:r>
    </w:p>
    <w:p w14:paraId="6FC11220">
      <w:pPr>
        <w:spacing w:line="240" w:lineRule="exact"/>
        <w:jc w:val="center"/>
        <w:rPr>
          <w:b/>
          <w:bCs/>
          <w:sz w:val="44"/>
        </w:rPr>
      </w:pPr>
    </w:p>
    <w:p w14:paraId="65FE92ED">
      <w:pPr>
        <w:spacing w:line="440" w:lineRule="exact"/>
        <w:ind w:firstLine="560" w:firstLineChars="200"/>
        <w:rPr>
          <w:color w:val="000000" w:themeColor="text1"/>
          <w:sz w:val="28"/>
          <w:szCs w:val="28"/>
        </w:rPr>
      </w:pPr>
    </w:p>
    <w:p w14:paraId="60046F41">
      <w:pPr>
        <w:spacing w:line="440" w:lineRule="exact"/>
        <w:ind w:firstLine="560" w:firstLineChars="200"/>
        <w:rPr>
          <w:rFonts w:asciiTheme="minorEastAsia" w:hAnsiTheme="minorEastAsia" w:eastAsiaTheme="minorEastAsia"/>
          <w:sz w:val="28"/>
          <w:szCs w:val="30"/>
        </w:rPr>
      </w:pPr>
      <w:r>
        <w:rPr>
          <w:rFonts w:hint="eastAsia" w:asciiTheme="minorEastAsia" w:hAnsiTheme="minorEastAsia" w:eastAsiaTheme="minorEastAsia"/>
          <w:sz w:val="28"/>
          <w:szCs w:val="30"/>
        </w:rPr>
        <w:t>1.《竞价转让特别规定》；</w:t>
      </w:r>
    </w:p>
    <w:p w14:paraId="3194FE84">
      <w:pPr>
        <w:spacing w:line="440" w:lineRule="exact"/>
        <w:ind w:firstLine="560" w:firstLineChars="200"/>
        <w:rPr>
          <w:rFonts w:asciiTheme="minorEastAsia" w:hAnsiTheme="minorEastAsia" w:eastAsiaTheme="minorEastAsia"/>
          <w:sz w:val="28"/>
          <w:szCs w:val="30"/>
        </w:rPr>
      </w:pPr>
      <w:r>
        <w:rPr>
          <w:rFonts w:hint="eastAsia" w:asciiTheme="minorEastAsia" w:hAnsiTheme="minorEastAsia" w:eastAsiaTheme="minorEastAsia"/>
          <w:sz w:val="28"/>
          <w:szCs w:val="30"/>
        </w:rPr>
        <w:t>2.承诺书；</w:t>
      </w:r>
    </w:p>
    <w:p w14:paraId="73410590">
      <w:pPr>
        <w:spacing w:line="440" w:lineRule="exact"/>
        <w:ind w:firstLine="560" w:firstLineChars="200"/>
        <w:rPr>
          <w:rFonts w:asciiTheme="minorEastAsia" w:hAnsiTheme="minorEastAsia" w:eastAsiaTheme="minorEastAsia"/>
          <w:sz w:val="28"/>
          <w:szCs w:val="30"/>
        </w:rPr>
      </w:pPr>
      <w:r>
        <w:rPr>
          <w:rFonts w:hint="eastAsia" w:asciiTheme="minorEastAsia" w:hAnsiTheme="minorEastAsia" w:eastAsiaTheme="minorEastAsia"/>
          <w:sz w:val="28"/>
          <w:szCs w:val="30"/>
        </w:rPr>
        <w:t>3.《交保证金特别提示》；</w:t>
      </w:r>
    </w:p>
    <w:p w14:paraId="1BBE3F23">
      <w:pPr>
        <w:spacing w:line="440" w:lineRule="exact"/>
        <w:ind w:firstLine="560" w:firstLineChars="200"/>
        <w:rPr>
          <w:rFonts w:asciiTheme="minorEastAsia" w:hAnsiTheme="minorEastAsia" w:eastAsiaTheme="minorEastAsia"/>
          <w:color w:val="000000" w:themeColor="text1"/>
          <w:sz w:val="28"/>
          <w:szCs w:val="28"/>
        </w:rPr>
      </w:pPr>
      <w:r>
        <w:rPr>
          <w:rFonts w:hint="eastAsia" w:asciiTheme="minorEastAsia" w:hAnsiTheme="minorEastAsia" w:eastAsiaTheme="minorEastAsia"/>
          <w:sz w:val="28"/>
          <w:szCs w:val="30"/>
        </w:rPr>
        <w:t>4.交易保证金</w:t>
      </w:r>
      <w:r>
        <w:rPr>
          <w:rFonts w:hint="eastAsia" w:asciiTheme="minorEastAsia" w:hAnsiTheme="minorEastAsia" w:eastAsiaTheme="minorEastAsia"/>
          <w:color w:val="000000" w:themeColor="text1"/>
          <w:sz w:val="28"/>
          <w:szCs w:val="28"/>
        </w:rPr>
        <w:t>缴纳凭证；</w:t>
      </w:r>
    </w:p>
    <w:p w14:paraId="5E6093C6">
      <w:pPr>
        <w:spacing w:line="440" w:lineRule="exact"/>
        <w:ind w:firstLine="560" w:firstLineChars="200"/>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5.授权委托书；</w:t>
      </w:r>
    </w:p>
    <w:p w14:paraId="08499D30">
      <w:pPr>
        <w:spacing w:line="440" w:lineRule="exact"/>
        <w:ind w:firstLine="560" w:firstLineChars="200"/>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6.法定代表人资格证明书；</w:t>
      </w:r>
    </w:p>
    <w:p w14:paraId="7BB97655">
      <w:pPr>
        <w:spacing w:line="4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color w:val="000000" w:themeColor="text1"/>
          <w:sz w:val="28"/>
          <w:szCs w:val="28"/>
        </w:rPr>
        <w:t>7.成交确认</w:t>
      </w:r>
      <w:r>
        <w:rPr>
          <w:rFonts w:hint="eastAsia" w:asciiTheme="minorEastAsia" w:hAnsiTheme="minorEastAsia" w:eastAsiaTheme="minorEastAsia"/>
          <w:sz w:val="28"/>
          <w:szCs w:val="28"/>
        </w:rPr>
        <w:t>书样本；</w:t>
      </w:r>
    </w:p>
    <w:p w14:paraId="7930C2A9">
      <w:pPr>
        <w:spacing w:line="4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8.《股权转让合同》(格式)；</w:t>
      </w:r>
    </w:p>
    <w:p w14:paraId="1F03949E">
      <w:pPr>
        <w:spacing w:line="4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30"/>
        </w:rPr>
        <w:t>9.中审亚太闽审字(2026)000076号</w:t>
      </w:r>
      <w:bookmarkStart w:id="1" w:name="OLE_LINK3"/>
      <w:r>
        <w:rPr>
          <w:rFonts w:hint="eastAsia" w:asciiTheme="minorEastAsia" w:hAnsiTheme="minorEastAsia" w:eastAsiaTheme="minorEastAsia"/>
          <w:sz w:val="28"/>
          <w:szCs w:val="30"/>
        </w:rPr>
        <w:t>《审计报告》复印件</w:t>
      </w:r>
      <w:bookmarkEnd w:id="1"/>
      <w:r>
        <w:rPr>
          <w:rFonts w:hint="eastAsia" w:asciiTheme="minorEastAsia" w:hAnsiTheme="minorEastAsia" w:eastAsiaTheme="minorEastAsia"/>
          <w:sz w:val="28"/>
          <w:szCs w:val="28"/>
        </w:rPr>
        <w:t>；</w:t>
      </w:r>
    </w:p>
    <w:p w14:paraId="1ECBD05D">
      <w:pPr>
        <w:spacing w:line="440" w:lineRule="exact"/>
        <w:ind w:firstLine="560" w:firstLineChars="200"/>
        <w:rPr>
          <w:rFonts w:asciiTheme="minorEastAsia" w:hAnsiTheme="minorEastAsia" w:eastAsiaTheme="minorEastAsia"/>
          <w:sz w:val="28"/>
          <w:szCs w:val="30"/>
        </w:rPr>
      </w:pPr>
      <w:r>
        <w:rPr>
          <w:rFonts w:hint="eastAsia" w:asciiTheme="minorEastAsia" w:hAnsiTheme="minorEastAsia" w:eastAsiaTheme="minorEastAsia"/>
          <w:sz w:val="28"/>
          <w:szCs w:val="30"/>
        </w:rPr>
        <w:t>10.中审亚太闽审字(2026)000173号《审计报告》复印件；</w:t>
      </w:r>
    </w:p>
    <w:p w14:paraId="6601734B">
      <w:pPr>
        <w:spacing w:line="4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30"/>
        </w:rPr>
        <w:t>11.厦翰和评报字【2026】第HH0135号《评估报告》复印件</w:t>
      </w:r>
      <w:r>
        <w:rPr>
          <w:rFonts w:hint="eastAsia" w:asciiTheme="minorEastAsia" w:hAnsiTheme="minorEastAsia" w:eastAsiaTheme="minorEastAsia"/>
          <w:sz w:val="28"/>
          <w:szCs w:val="28"/>
        </w:rPr>
        <w:t>。</w:t>
      </w:r>
    </w:p>
    <w:p w14:paraId="42D99268">
      <w:pPr>
        <w:pStyle w:val="2"/>
      </w:pPr>
    </w:p>
    <w:p w14:paraId="4EF1AB8D">
      <w:pPr>
        <w:spacing w:line="440" w:lineRule="exact"/>
        <w:ind w:firstLine="560" w:firstLineChars="200"/>
        <w:rPr>
          <w:color w:val="000000" w:themeColor="text1"/>
          <w:sz w:val="28"/>
        </w:rPr>
      </w:pPr>
    </w:p>
    <w:p w14:paraId="1F9689C4">
      <w:pPr>
        <w:pStyle w:val="2"/>
      </w:pPr>
    </w:p>
    <w:p w14:paraId="58F686D6">
      <w:pPr>
        <w:spacing w:line="440" w:lineRule="exact"/>
        <w:rPr>
          <w:color w:val="000000" w:themeColor="text1"/>
          <w:sz w:val="28"/>
          <w:szCs w:val="28"/>
        </w:rPr>
      </w:pPr>
    </w:p>
    <w:p w14:paraId="1182FC1C">
      <w:pPr>
        <w:spacing w:line="440" w:lineRule="exact"/>
        <w:ind w:firstLine="560" w:firstLineChars="200"/>
        <w:rPr>
          <w:color w:val="000000" w:themeColor="text1"/>
          <w:sz w:val="28"/>
          <w:szCs w:val="28"/>
        </w:rPr>
      </w:pPr>
    </w:p>
    <w:p w14:paraId="4A500383">
      <w:pPr>
        <w:spacing w:line="440" w:lineRule="exact"/>
        <w:rPr>
          <w:color w:val="000000" w:themeColor="text1"/>
          <w:sz w:val="28"/>
          <w:szCs w:val="28"/>
        </w:rPr>
      </w:pPr>
    </w:p>
    <w:p w14:paraId="0189C7EE">
      <w:pPr>
        <w:pBdr>
          <w:top w:val="single" w:color="auto" w:sz="4" w:space="1"/>
          <w:left w:val="single" w:color="auto" w:sz="4" w:space="4"/>
          <w:bottom w:val="single" w:color="auto" w:sz="4" w:space="1"/>
          <w:right w:val="single" w:color="auto" w:sz="4" w:space="4"/>
        </w:pBdr>
        <w:spacing w:line="460" w:lineRule="exact"/>
        <w:ind w:firstLine="560" w:firstLineChars="200"/>
        <w:rPr>
          <w:color w:val="000000" w:themeColor="text1"/>
          <w:sz w:val="28"/>
          <w:szCs w:val="28"/>
        </w:rPr>
      </w:pPr>
      <w:r>
        <w:rPr>
          <w:rFonts w:hint="eastAsia"/>
          <w:color w:val="000000" w:themeColor="text1"/>
          <w:sz w:val="28"/>
          <w:szCs w:val="28"/>
        </w:rPr>
        <w:t>提示：</w:t>
      </w:r>
      <w:r>
        <w:rPr>
          <w:rFonts w:hint="eastAsia"/>
          <w:b/>
          <w:color w:val="000000" w:themeColor="text1"/>
          <w:sz w:val="28"/>
          <w:szCs w:val="28"/>
          <w:u w:val="single"/>
        </w:rPr>
        <w:t>竞买人应当面认真核对所领取材料是否与《文件清单》所列一致，若有缺，请即时提出更换；如相一致，请签名确认后，交回龙岩市产权交易中心有限公司壹份存档。</w:t>
      </w:r>
    </w:p>
    <w:p w14:paraId="78418305">
      <w:pPr>
        <w:pBdr>
          <w:top w:val="single" w:color="auto" w:sz="4" w:space="1"/>
          <w:left w:val="single" w:color="auto" w:sz="4" w:space="4"/>
          <w:bottom w:val="single" w:color="auto" w:sz="4" w:space="1"/>
          <w:right w:val="single" w:color="auto" w:sz="4" w:space="4"/>
        </w:pBdr>
        <w:spacing w:line="460" w:lineRule="exact"/>
        <w:ind w:firstLine="560" w:firstLineChars="200"/>
        <w:rPr>
          <w:color w:val="000000" w:themeColor="text1"/>
          <w:sz w:val="28"/>
          <w:szCs w:val="28"/>
        </w:rPr>
      </w:pPr>
      <w:r>
        <w:rPr>
          <w:rFonts w:hint="eastAsia"/>
          <w:color w:val="000000" w:themeColor="text1"/>
          <w:sz w:val="28"/>
          <w:szCs w:val="28"/>
        </w:rPr>
        <w:t>经核对，材料与清单一致。</w:t>
      </w:r>
    </w:p>
    <w:p w14:paraId="4F6AC58A">
      <w:pPr>
        <w:pBdr>
          <w:top w:val="single" w:color="auto" w:sz="4" w:space="1"/>
          <w:left w:val="single" w:color="auto" w:sz="4" w:space="4"/>
          <w:bottom w:val="single" w:color="auto" w:sz="4" w:space="1"/>
          <w:right w:val="single" w:color="auto" w:sz="4" w:space="4"/>
        </w:pBdr>
        <w:spacing w:line="460" w:lineRule="exact"/>
        <w:ind w:firstLine="560" w:firstLineChars="200"/>
        <w:rPr>
          <w:color w:val="000000" w:themeColor="text1"/>
          <w:sz w:val="28"/>
          <w:szCs w:val="28"/>
          <w:u w:val="single"/>
        </w:rPr>
      </w:pPr>
      <w:r>
        <w:rPr>
          <w:rFonts w:hint="eastAsia"/>
          <w:color w:val="000000" w:themeColor="text1"/>
          <w:sz w:val="28"/>
          <w:szCs w:val="28"/>
        </w:rPr>
        <w:t xml:space="preserve">            竞买人（签章）：</w:t>
      </w:r>
      <w:r>
        <w:rPr>
          <w:rFonts w:hint="eastAsia"/>
          <w:color w:val="000000" w:themeColor="text1"/>
          <w:sz w:val="28"/>
          <w:szCs w:val="28"/>
          <w:u w:val="single"/>
        </w:rPr>
        <w:t xml:space="preserve">          </w:t>
      </w:r>
    </w:p>
    <w:p w14:paraId="0859FACC">
      <w:pPr>
        <w:pBdr>
          <w:top w:val="single" w:color="auto" w:sz="4" w:space="1"/>
          <w:left w:val="single" w:color="auto" w:sz="4" w:space="4"/>
          <w:bottom w:val="single" w:color="auto" w:sz="4" w:space="1"/>
          <w:right w:val="single" w:color="auto" w:sz="4" w:space="4"/>
        </w:pBdr>
        <w:spacing w:line="460" w:lineRule="exact"/>
        <w:ind w:firstLine="2240" w:firstLineChars="800"/>
        <w:rPr>
          <w:color w:val="000000" w:themeColor="text1"/>
          <w:sz w:val="28"/>
          <w:szCs w:val="28"/>
        </w:rPr>
      </w:pPr>
      <w:r>
        <w:rPr>
          <w:rFonts w:hint="eastAsia"/>
          <w:color w:val="000000" w:themeColor="text1"/>
          <w:sz w:val="28"/>
          <w:szCs w:val="28"/>
        </w:rPr>
        <w:t>联系电话：</w:t>
      </w:r>
      <w:r>
        <w:rPr>
          <w:rFonts w:hint="eastAsia"/>
          <w:color w:val="000000" w:themeColor="text1"/>
          <w:sz w:val="28"/>
          <w:szCs w:val="28"/>
          <w:u w:val="single"/>
        </w:rPr>
        <w:t xml:space="preserve">                </w:t>
      </w:r>
      <w:r>
        <w:rPr>
          <w:rFonts w:hint="eastAsia"/>
          <w:color w:val="000000" w:themeColor="text1"/>
          <w:sz w:val="28"/>
          <w:szCs w:val="28"/>
        </w:rPr>
        <w:t xml:space="preserve">     年   月   日</w:t>
      </w:r>
    </w:p>
    <w:p w14:paraId="1375948E">
      <w:pPr>
        <w:widowControl/>
        <w:jc w:val="left"/>
        <w:rPr>
          <w:color w:val="000000" w:themeColor="text1"/>
        </w:rPr>
      </w:pPr>
      <w:r>
        <w:rPr>
          <w:color w:val="000000" w:themeColor="text1"/>
        </w:rPr>
        <w:br w:type="page"/>
      </w:r>
    </w:p>
    <w:p w14:paraId="08628856">
      <w:pPr>
        <w:spacing w:line="520" w:lineRule="exact"/>
        <w:jc w:val="center"/>
        <w:rPr>
          <w:rFonts w:asciiTheme="minorEastAsia" w:hAnsiTheme="minorEastAsia" w:eastAsiaTheme="minorEastAsia"/>
          <w:b/>
          <w:bCs/>
          <w:sz w:val="36"/>
          <w:szCs w:val="36"/>
        </w:rPr>
      </w:pPr>
      <w:r>
        <w:rPr>
          <w:rFonts w:hint="eastAsia" w:asciiTheme="minorEastAsia" w:hAnsiTheme="minorEastAsia" w:eastAsiaTheme="minorEastAsia"/>
          <w:b/>
          <w:bCs/>
          <w:sz w:val="36"/>
          <w:szCs w:val="36"/>
        </w:rPr>
        <w:t>竞价转让特别规定</w:t>
      </w:r>
    </w:p>
    <w:p w14:paraId="27E16890">
      <w:pPr>
        <w:spacing w:line="520" w:lineRule="exact"/>
        <w:jc w:val="center"/>
        <w:rPr>
          <w:rFonts w:asciiTheme="minorEastAsia" w:hAnsiTheme="minorEastAsia" w:eastAsiaTheme="minorEastAsia"/>
          <w:sz w:val="30"/>
        </w:rPr>
      </w:pPr>
    </w:p>
    <w:p w14:paraId="5AC0895F">
      <w:pPr>
        <w:pBdr>
          <w:top w:val="single" w:color="auto" w:sz="4" w:space="1"/>
          <w:left w:val="single" w:color="auto" w:sz="4" w:space="4"/>
          <w:bottom w:val="single" w:color="auto" w:sz="4" w:space="1"/>
          <w:right w:val="single" w:color="auto" w:sz="4" w:space="4"/>
        </w:pBdr>
        <w:spacing w:line="520" w:lineRule="exact"/>
        <w:rPr>
          <w:rFonts w:asciiTheme="minorEastAsia" w:hAnsiTheme="minorEastAsia" w:eastAsiaTheme="minorEastAsia"/>
          <w:b/>
          <w:bCs/>
          <w:sz w:val="32"/>
          <w:szCs w:val="32"/>
        </w:rPr>
      </w:pPr>
      <w:r>
        <w:rPr>
          <w:rFonts w:hint="eastAsia" w:asciiTheme="minorEastAsia" w:hAnsiTheme="minorEastAsia" w:eastAsiaTheme="minorEastAsia"/>
          <w:b/>
          <w:sz w:val="32"/>
          <w:szCs w:val="32"/>
        </w:rPr>
        <w:t>龙岩市产权交易中心有限公司特别提示：竞买人必须认真阅读本规定</w:t>
      </w:r>
    </w:p>
    <w:p w14:paraId="05DBA815">
      <w:pPr>
        <w:pStyle w:val="5"/>
        <w:spacing w:line="520" w:lineRule="exact"/>
        <w:ind w:firstLine="477" w:firstLineChars="199"/>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龙岩市产权交易中心有限公司（以下简称“本公司”）遵循“公开、公平、公正、诚实信用”的原则，受委托人</w:t>
      </w:r>
      <w:r>
        <w:rPr>
          <w:rFonts w:hint="eastAsia" w:ascii="宋体" w:hAnsi="宋体" w:eastAsiaTheme="minorEastAsia"/>
          <w:color w:val="000000" w:themeColor="text1"/>
          <w:sz w:val="24"/>
        </w:rPr>
        <w:t>龙岩矿业发展有限公司</w:t>
      </w:r>
      <w:r>
        <w:rPr>
          <w:rFonts w:hint="eastAsia" w:asciiTheme="minorEastAsia" w:hAnsiTheme="minorEastAsia" w:eastAsiaTheme="minorEastAsia"/>
          <w:color w:val="000000" w:themeColor="text1"/>
          <w:sz w:val="24"/>
        </w:rPr>
        <w:t>的委托，依照国家法律、法规、政策为本次竞价活动提供服务，现将有关竞买事项告知如下：</w:t>
      </w:r>
    </w:p>
    <w:p w14:paraId="7ACC54DA">
      <w:pPr>
        <w:spacing w:line="520" w:lineRule="exact"/>
        <w:rPr>
          <w:rFonts w:asciiTheme="minorEastAsia" w:hAnsiTheme="minorEastAsia" w:eastAsiaTheme="minorEastAsia"/>
          <w:color w:val="000000" w:themeColor="text1"/>
          <w:sz w:val="24"/>
        </w:rPr>
      </w:pPr>
      <w:r>
        <w:rPr>
          <w:rFonts w:hint="eastAsia" w:asciiTheme="minorEastAsia" w:hAnsiTheme="minorEastAsia" w:eastAsiaTheme="minorEastAsia"/>
          <w:b/>
          <w:color w:val="000000" w:themeColor="text1"/>
          <w:sz w:val="24"/>
        </w:rPr>
        <w:t>一、公开挂牌竞价、报名的时间、地点：</w:t>
      </w:r>
    </w:p>
    <w:p w14:paraId="03B4A316">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color w:val="000000" w:themeColor="text1"/>
          <w:sz w:val="24"/>
        </w:rPr>
        <w:t>竞价</w:t>
      </w:r>
      <w:r>
        <w:rPr>
          <w:rFonts w:hint="eastAsia" w:asciiTheme="minorEastAsia" w:hAnsiTheme="minorEastAsia" w:eastAsiaTheme="minorEastAsia"/>
          <w:sz w:val="24"/>
        </w:rPr>
        <w:t>时间：</w:t>
      </w:r>
      <w:r>
        <w:rPr>
          <w:rFonts w:hint="eastAsia" w:asciiTheme="minorEastAsia" w:hAnsiTheme="minorEastAsia" w:eastAsiaTheme="minorEastAsia"/>
          <w:sz w:val="24"/>
          <w:u w:val="single"/>
        </w:rPr>
        <w:t>2026年9月14日</w:t>
      </w:r>
      <w:r>
        <w:rPr>
          <w:rFonts w:hint="eastAsia" w:asciiTheme="minorEastAsia" w:hAnsiTheme="minorEastAsia" w:eastAsiaTheme="minorEastAsia"/>
          <w:sz w:val="24"/>
        </w:rPr>
        <w:t>8时至9时30分（限时报价120秒）</w:t>
      </w:r>
    </w:p>
    <w:p w14:paraId="20B57E75">
      <w:pPr>
        <w:spacing w:line="520" w:lineRule="exact"/>
        <w:ind w:firstLine="480" w:firstLineChars="200"/>
        <w:rPr>
          <w:rFonts w:asciiTheme="minorEastAsia" w:hAnsiTheme="minorEastAsia" w:eastAsiaTheme="minorEastAsia"/>
          <w:sz w:val="24"/>
          <w:shd w:val="clear" w:color="auto" w:fill="FFFFFF"/>
        </w:rPr>
      </w:pPr>
      <w:r>
        <w:rPr>
          <w:rFonts w:hint="eastAsia" w:asciiTheme="minorEastAsia" w:hAnsiTheme="minorEastAsia" w:eastAsiaTheme="minorEastAsia"/>
          <w:sz w:val="24"/>
        </w:rPr>
        <w:t>竞价地点：</w:t>
      </w:r>
      <w:r>
        <w:rPr>
          <w:rFonts w:hint="eastAsia" w:asciiTheme="minorEastAsia" w:hAnsiTheme="minorEastAsia" w:eastAsiaTheme="minorEastAsia"/>
          <w:sz w:val="24"/>
          <w:shd w:val="clear" w:color="auto" w:fill="FFFFFF"/>
        </w:rPr>
        <w:t>权益云网络交易平台（网址：</w:t>
      </w:r>
      <w:r>
        <w:fldChar w:fldCharType="begin"/>
      </w:r>
      <w:r>
        <w:instrText xml:space="preserve"> HYPERLINK "https://www.unibid.cn" </w:instrText>
      </w:r>
      <w:r>
        <w:fldChar w:fldCharType="separate"/>
      </w:r>
      <w:r>
        <w:rPr>
          <w:rStyle w:val="17"/>
          <w:rFonts w:hint="eastAsia" w:asciiTheme="minorEastAsia" w:hAnsiTheme="minorEastAsia" w:eastAsiaTheme="minorEastAsia"/>
          <w:color w:val="auto"/>
          <w:sz w:val="24"/>
          <w:shd w:val="clear" w:color="auto" w:fill="FFFFFF"/>
        </w:rPr>
        <w:t>https://www.unibid.cn</w:t>
      </w:r>
      <w:r>
        <w:rPr>
          <w:rStyle w:val="17"/>
          <w:rFonts w:hint="eastAsia" w:asciiTheme="minorEastAsia" w:hAnsiTheme="minorEastAsia" w:eastAsiaTheme="minorEastAsia"/>
          <w:color w:val="auto"/>
          <w:sz w:val="24"/>
          <w:shd w:val="clear" w:color="auto" w:fill="FFFFFF"/>
        </w:rPr>
        <w:fldChar w:fldCharType="end"/>
      </w:r>
      <w:r>
        <w:rPr>
          <w:rFonts w:hint="eastAsia" w:asciiTheme="minorEastAsia" w:hAnsiTheme="minorEastAsia" w:eastAsiaTheme="minorEastAsia"/>
          <w:sz w:val="24"/>
          <w:shd w:val="clear" w:color="auto" w:fill="FFFFFF"/>
        </w:rPr>
        <w:t>）</w:t>
      </w:r>
    </w:p>
    <w:p w14:paraId="107B7C3F">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报名时间： 即日起至竞价时间前一个工作日17时（节假日除外）</w:t>
      </w:r>
    </w:p>
    <w:p w14:paraId="7A26E046">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联系电话：0597-2688591  2688592    </w:t>
      </w:r>
    </w:p>
    <w:p w14:paraId="50D752EE">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报名地点：</w:t>
      </w:r>
      <w:r>
        <w:rPr>
          <w:rFonts w:hint="eastAsia" w:asciiTheme="minorEastAsia" w:hAnsiTheme="minorEastAsia" w:eastAsiaTheme="minorEastAsia"/>
          <w:spacing w:val="18"/>
          <w:sz w:val="24"/>
        </w:rPr>
        <w:t>龙岩市莲西路市公共资源交易中心八层</w:t>
      </w:r>
    </w:p>
    <w:p w14:paraId="4C3ECDBA">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尽职调查时间：即日起至竞价时间前一个工作日（节假日除外）</w:t>
      </w:r>
    </w:p>
    <w:p w14:paraId="621B6D70">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咨询电话：13950823982 黄先生</w:t>
      </w:r>
    </w:p>
    <w:p w14:paraId="48243010">
      <w:pPr>
        <w:spacing w:line="520" w:lineRule="exact"/>
        <w:jc w:val="left"/>
        <w:rPr>
          <w:rFonts w:ascii="宋体" w:hAnsi="宋体"/>
          <w:color w:val="000000" w:themeColor="text1"/>
          <w:sz w:val="24"/>
        </w:rPr>
      </w:pPr>
      <w:r>
        <w:rPr>
          <w:rFonts w:hint="eastAsia" w:ascii="宋体" w:hAnsi="宋体"/>
          <w:b/>
          <w:sz w:val="24"/>
        </w:rPr>
        <w:t>二、转让标的：</w:t>
      </w:r>
      <w:r>
        <w:rPr>
          <w:rFonts w:hint="eastAsia"/>
          <w:sz w:val="24"/>
        </w:rPr>
        <w:t>龙岩北荣矿业有限责任公司19%股权</w:t>
      </w:r>
    </w:p>
    <w:p w14:paraId="22E23A6C">
      <w:pPr>
        <w:spacing w:line="520" w:lineRule="exact"/>
        <w:rPr>
          <w:rFonts w:ascii="宋体" w:hAnsi="宋体" w:cs="仿宋_GB2312"/>
          <w:bCs/>
          <w:sz w:val="24"/>
        </w:rPr>
      </w:pPr>
      <w:r>
        <w:rPr>
          <w:rFonts w:hint="eastAsia" w:ascii="宋体" w:hAnsi="宋体"/>
          <w:b/>
          <w:color w:val="000000" w:themeColor="text1"/>
          <w:sz w:val="24"/>
        </w:rPr>
        <w:t>三、转</w:t>
      </w:r>
      <w:r>
        <w:rPr>
          <w:rFonts w:hint="eastAsia" w:ascii="宋体" w:hAnsi="宋体"/>
          <w:b/>
          <w:sz w:val="24"/>
        </w:rPr>
        <w:t>让底价：</w:t>
      </w:r>
      <w:r>
        <w:rPr>
          <w:rFonts w:hint="eastAsia" w:ascii="宋体" w:hAnsi="宋体"/>
          <w:sz w:val="24"/>
        </w:rPr>
        <w:t>人民币39.74万元</w:t>
      </w:r>
    </w:p>
    <w:p w14:paraId="5543A0B4">
      <w:pPr>
        <w:spacing w:line="520" w:lineRule="exact"/>
        <w:rPr>
          <w:rFonts w:asciiTheme="minorEastAsia" w:hAnsiTheme="minorEastAsia" w:eastAsiaTheme="minorEastAsia"/>
          <w:b/>
          <w:bCs/>
          <w:sz w:val="24"/>
        </w:rPr>
      </w:pPr>
      <w:r>
        <w:rPr>
          <w:rFonts w:hint="eastAsia" w:asciiTheme="minorEastAsia" w:hAnsiTheme="minorEastAsia" w:eastAsiaTheme="minorEastAsia"/>
          <w:b/>
          <w:bCs/>
          <w:sz w:val="24"/>
        </w:rPr>
        <w:t>四、标的基本情况</w:t>
      </w:r>
    </w:p>
    <w:p w14:paraId="40A3F725">
      <w:pPr>
        <w:spacing w:line="520" w:lineRule="exact"/>
        <w:ind w:firstLine="470" w:firstLineChars="196"/>
        <w:rPr>
          <w:rFonts w:ascii="宋体" w:hAnsi="宋体"/>
          <w:sz w:val="24"/>
        </w:rPr>
      </w:pPr>
      <w:r>
        <w:rPr>
          <w:rFonts w:hint="eastAsia" w:ascii="宋体" w:hAnsi="宋体"/>
          <w:sz w:val="24"/>
        </w:rPr>
        <w:t>龙岩北荣矿业有限责任公司（以下简称“北荣公司”或“标的公司”）成立于2021年3月5日，统一社会信用代码：91350802MA8RKC3P1D，注册地位于福建省龙岩市新罗区适中镇仁和村保太路2号北山煤矿矿部办公大楼，法定代表人为黄淇斌。经营范围包括一般项目：非金属矿及制品销售；新型金属功能材料销售；金属矿石销售；建筑材料销售；建筑装饰材料销售；金属基复合材料和陶瓷基复合材料销售；建筑用石加工；非金属矿物制品制造（除依法须经批准的项目外，凭营业执照依法自主开展经营活动）许可项目：矿产资源（非煤矿山）开采（依法须经批准的项目，经相关部门批准后方可开展经营活动，具体经营项目以相关部门批准文件或许可证件为准）。注册资本为200万元，实缴200万元。截止至2026年6月30日评估基准日，北荣公司总资产账面价值为209.23万元，其中：其他应收款170.44万元、银行存款38.79万元，负债总额0.07万元，净资产账面价值为209.16万元，其中：实收资本200万元，盈余公积0.65万元，未分配利润8.51万元。北荣公司目前无实际经营业务。</w:t>
      </w:r>
    </w:p>
    <w:p w14:paraId="5C07E4B6">
      <w:pPr>
        <w:spacing w:line="520" w:lineRule="exact"/>
        <w:rPr>
          <w:rFonts w:ascii="宋体" w:hAnsi="宋体"/>
          <w:color w:val="000000"/>
          <w:sz w:val="24"/>
        </w:rPr>
      </w:pPr>
      <w:r>
        <w:rPr>
          <w:rFonts w:hint="eastAsia" w:ascii="宋体" w:hAnsi="宋体"/>
          <w:b/>
          <w:bCs/>
          <w:color w:val="000000"/>
          <w:sz w:val="24"/>
        </w:rPr>
        <w:t>五、标的公司股权结构</w:t>
      </w:r>
    </w:p>
    <w:tbl>
      <w:tblPr>
        <w:tblStyle w:val="12"/>
        <w:tblW w:w="7935" w:type="dxa"/>
        <w:jc w:val="center"/>
        <w:tblCellSpacing w:w="0" w:type="dxa"/>
        <w:tblBorders>
          <w:top w:val="none" w:color="auto" w:sz="6" w:space="0"/>
          <w:left w:val="none" w:color="auto" w:sz="6" w:space="0"/>
          <w:bottom w:val="single" w:color="333333" w:sz="6" w:space="0"/>
          <w:right w:val="single" w:color="333333"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666"/>
        <w:gridCol w:w="3927"/>
        <w:gridCol w:w="1964"/>
        <w:gridCol w:w="1378"/>
      </w:tblGrid>
      <w:tr w14:paraId="2F820138">
        <w:tblPrEx>
          <w:tblBorders>
            <w:top w:val="none" w:color="auto" w:sz="6" w:space="0"/>
            <w:left w:val="none" w:color="auto" w:sz="6" w:space="0"/>
            <w:bottom w:val="single" w:color="333333" w:sz="6" w:space="0"/>
            <w:right w:val="single"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jc w:val="center"/>
        </w:trPr>
        <w:tc>
          <w:tcPr>
            <w:tcW w:w="666" w:type="dxa"/>
            <w:tcBorders>
              <w:top w:val="single" w:color="333333" w:sz="6" w:space="0"/>
              <w:left w:val="single" w:color="333333" w:sz="6" w:space="0"/>
            </w:tcBorders>
            <w:shd w:val="clear" w:color="auto" w:fill="FFFFFF"/>
            <w:tcMar>
              <w:top w:w="30" w:type="dxa"/>
              <w:left w:w="30" w:type="dxa"/>
              <w:bottom w:w="30" w:type="dxa"/>
              <w:right w:w="30" w:type="dxa"/>
            </w:tcMar>
          </w:tcPr>
          <w:p w14:paraId="6B03D40C">
            <w:pPr>
              <w:pStyle w:val="10"/>
              <w:spacing w:line="525" w:lineRule="atLeast"/>
              <w:ind w:firstLine="0" w:firstLineChars="0"/>
              <w:jc w:val="center"/>
            </w:pPr>
            <w:r>
              <w:rPr>
                <w:rFonts w:hint="eastAsia"/>
              </w:rPr>
              <w:t>序号</w:t>
            </w:r>
          </w:p>
        </w:tc>
        <w:tc>
          <w:tcPr>
            <w:tcW w:w="3927" w:type="dxa"/>
            <w:tcBorders>
              <w:top w:val="single" w:color="333333" w:sz="6" w:space="0"/>
              <w:left w:val="single" w:color="333333" w:sz="6" w:space="0"/>
            </w:tcBorders>
            <w:shd w:val="clear" w:color="auto" w:fill="FFFFFF"/>
            <w:tcMar>
              <w:top w:w="30" w:type="dxa"/>
              <w:left w:w="30" w:type="dxa"/>
              <w:bottom w:w="30" w:type="dxa"/>
              <w:right w:w="30" w:type="dxa"/>
            </w:tcMar>
          </w:tcPr>
          <w:p w14:paraId="3F872DE9">
            <w:pPr>
              <w:pStyle w:val="10"/>
              <w:spacing w:line="525" w:lineRule="atLeast"/>
              <w:jc w:val="center"/>
            </w:pPr>
            <w:r>
              <w:rPr>
                <w:rFonts w:hint="eastAsia"/>
              </w:rPr>
              <w:t>股东名称</w:t>
            </w:r>
          </w:p>
        </w:tc>
        <w:tc>
          <w:tcPr>
            <w:tcW w:w="1964" w:type="dxa"/>
            <w:tcBorders>
              <w:top w:val="single" w:color="333333" w:sz="6" w:space="0"/>
              <w:left w:val="single" w:color="333333" w:sz="6" w:space="0"/>
            </w:tcBorders>
            <w:shd w:val="clear" w:color="auto" w:fill="FFFFFF"/>
            <w:tcMar>
              <w:top w:w="30" w:type="dxa"/>
              <w:left w:w="30" w:type="dxa"/>
              <w:bottom w:w="30" w:type="dxa"/>
              <w:right w:w="30" w:type="dxa"/>
            </w:tcMar>
          </w:tcPr>
          <w:p w14:paraId="207C242B">
            <w:pPr>
              <w:pStyle w:val="10"/>
              <w:spacing w:line="525" w:lineRule="atLeast"/>
              <w:ind w:firstLine="0" w:firstLineChars="0"/>
              <w:jc w:val="center"/>
            </w:pPr>
            <w:r>
              <w:rPr>
                <w:rFonts w:hint="eastAsia"/>
              </w:rPr>
              <w:t>认缴数额(万元)</w:t>
            </w:r>
          </w:p>
        </w:tc>
        <w:tc>
          <w:tcPr>
            <w:tcW w:w="1378" w:type="dxa"/>
            <w:tcBorders>
              <w:top w:val="single" w:color="333333" w:sz="6" w:space="0"/>
              <w:left w:val="single" w:color="333333" w:sz="6" w:space="0"/>
            </w:tcBorders>
            <w:shd w:val="clear" w:color="auto" w:fill="FFFFFF"/>
            <w:tcMar>
              <w:top w:w="30" w:type="dxa"/>
              <w:left w:w="30" w:type="dxa"/>
              <w:bottom w:w="30" w:type="dxa"/>
              <w:right w:w="30" w:type="dxa"/>
            </w:tcMar>
          </w:tcPr>
          <w:p w14:paraId="4B0E06AB">
            <w:pPr>
              <w:pStyle w:val="10"/>
              <w:spacing w:line="525" w:lineRule="atLeast"/>
              <w:ind w:firstLine="0" w:firstLineChars="0"/>
              <w:jc w:val="center"/>
            </w:pPr>
            <w:r>
              <w:rPr>
                <w:rFonts w:hint="eastAsia"/>
              </w:rPr>
              <w:t>持股比例</w:t>
            </w:r>
          </w:p>
        </w:tc>
      </w:tr>
      <w:tr w14:paraId="7AE86372">
        <w:tblPrEx>
          <w:tblBorders>
            <w:top w:val="none" w:color="auto" w:sz="6" w:space="0"/>
            <w:left w:val="none" w:color="auto" w:sz="6" w:space="0"/>
            <w:bottom w:val="single" w:color="333333" w:sz="6" w:space="0"/>
            <w:right w:val="single"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jc w:val="center"/>
        </w:trPr>
        <w:tc>
          <w:tcPr>
            <w:tcW w:w="666" w:type="dxa"/>
            <w:tcBorders>
              <w:top w:val="single" w:color="333333" w:sz="6" w:space="0"/>
              <w:left w:val="single" w:color="333333" w:sz="6" w:space="0"/>
              <w:bottom w:val="single" w:color="333333" w:sz="6" w:space="0"/>
            </w:tcBorders>
            <w:shd w:val="clear" w:color="auto" w:fill="FFFFFF"/>
            <w:tcMar>
              <w:top w:w="30" w:type="dxa"/>
              <w:left w:w="30" w:type="dxa"/>
              <w:bottom w:w="30" w:type="dxa"/>
              <w:right w:w="30" w:type="dxa"/>
            </w:tcMar>
          </w:tcPr>
          <w:p w14:paraId="213C64AE">
            <w:pPr>
              <w:spacing w:line="520" w:lineRule="exact"/>
              <w:jc w:val="center"/>
              <w:rPr>
                <w:rFonts w:ascii="宋体" w:hAnsi="宋体" w:cs="宋体"/>
                <w:sz w:val="24"/>
              </w:rPr>
            </w:pPr>
            <w:r>
              <w:rPr>
                <w:rFonts w:hint="eastAsia" w:ascii="宋体" w:hAnsi="宋体" w:cs="宋体"/>
                <w:sz w:val="24"/>
              </w:rPr>
              <w:t>1</w:t>
            </w:r>
          </w:p>
        </w:tc>
        <w:tc>
          <w:tcPr>
            <w:tcW w:w="3927" w:type="dxa"/>
            <w:tcBorders>
              <w:top w:val="single" w:color="333333" w:sz="6" w:space="0"/>
              <w:left w:val="single" w:color="333333" w:sz="6" w:space="0"/>
              <w:bottom w:val="single" w:color="333333" w:sz="6" w:space="0"/>
            </w:tcBorders>
            <w:shd w:val="clear" w:color="auto" w:fill="FFFFFF"/>
            <w:tcMar>
              <w:top w:w="30" w:type="dxa"/>
              <w:left w:w="30" w:type="dxa"/>
              <w:bottom w:w="30" w:type="dxa"/>
              <w:right w:w="30" w:type="dxa"/>
            </w:tcMar>
          </w:tcPr>
          <w:p w14:paraId="1535173E">
            <w:pPr>
              <w:spacing w:line="520" w:lineRule="exact"/>
              <w:jc w:val="center"/>
              <w:rPr>
                <w:rFonts w:ascii="宋体" w:hAnsi="宋体" w:cs="宋体"/>
                <w:sz w:val="24"/>
              </w:rPr>
            </w:pPr>
            <w:r>
              <w:rPr>
                <w:rFonts w:hint="eastAsia" w:ascii="宋体" w:hAnsi="宋体" w:cs="宋体"/>
                <w:sz w:val="24"/>
              </w:rPr>
              <w:t>龙岩矿业发展有限公司</w:t>
            </w:r>
          </w:p>
        </w:tc>
        <w:tc>
          <w:tcPr>
            <w:tcW w:w="1964" w:type="dxa"/>
            <w:tcBorders>
              <w:top w:val="single" w:color="333333" w:sz="6" w:space="0"/>
              <w:left w:val="single" w:color="333333" w:sz="6" w:space="0"/>
              <w:bottom w:val="single" w:color="333333" w:sz="6" w:space="0"/>
            </w:tcBorders>
            <w:shd w:val="clear" w:color="auto" w:fill="FFFFFF"/>
            <w:tcMar>
              <w:top w:w="30" w:type="dxa"/>
              <w:left w:w="30" w:type="dxa"/>
              <w:bottom w:w="30" w:type="dxa"/>
              <w:right w:w="30" w:type="dxa"/>
            </w:tcMar>
          </w:tcPr>
          <w:p w14:paraId="0E5C8607">
            <w:pPr>
              <w:spacing w:line="520" w:lineRule="exact"/>
              <w:jc w:val="center"/>
              <w:rPr>
                <w:rFonts w:ascii="宋体" w:hAnsi="宋体" w:cs="宋体"/>
                <w:sz w:val="24"/>
              </w:rPr>
            </w:pPr>
            <w:r>
              <w:rPr>
                <w:rFonts w:hint="eastAsia" w:ascii="宋体" w:hAnsi="宋体" w:cs="宋体"/>
                <w:sz w:val="24"/>
              </w:rPr>
              <w:t>140</w:t>
            </w:r>
          </w:p>
        </w:tc>
        <w:tc>
          <w:tcPr>
            <w:tcW w:w="1378" w:type="dxa"/>
            <w:tcBorders>
              <w:top w:val="single" w:color="333333" w:sz="6" w:space="0"/>
              <w:left w:val="single" w:color="333333" w:sz="6" w:space="0"/>
              <w:bottom w:val="single" w:color="333333" w:sz="6" w:space="0"/>
            </w:tcBorders>
            <w:shd w:val="clear" w:color="auto" w:fill="FFFFFF"/>
            <w:tcMar>
              <w:top w:w="30" w:type="dxa"/>
              <w:left w:w="30" w:type="dxa"/>
              <w:bottom w:w="30" w:type="dxa"/>
              <w:right w:w="30" w:type="dxa"/>
            </w:tcMar>
          </w:tcPr>
          <w:p w14:paraId="0E5C0015">
            <w:pPr>
              <w:spacing w:line="520" w:lineRule="exact"/>
              <w:jc w:val="center"/>
              <w:rPr>
                <w:rFonts w:ascii="宋体" w:hAnsi="宋体" w:cs="宋体"/>
                <w:sz w:val="24"/>
              </w:rPr>
            </w:pPr>
            <w:r>
              <w:rPr>
                <w:rFonts w:hint="eastAsia" w:ascii="宋体" w:hAnsi="宋体" w:cs="宋体"/>
                <w:sz w:val="24"/>
              </w:rPr>
              <w:t>70%</w:t>
            </w:r>
          </w:p>
        </w:tc>
      </w:tr>
      <w:tr w14:paraId="33535EBF">
        <w:tblPrEx>
          <w:tblBorders>
            <w:top w:val="none" w:color="auto" w:sz="6" w:space="0"/>
            <w:left w:val="none" w:color="auto" w:sz="6" w:space="0"/>
            <w:bottom w:val="single" w:color="333333" w:sz="6" w:space="0"/>
            <w:right w:val="single"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blCellSpacing w:w="0" w:type="dxa"/>
          <w:jc w:val="center"/>
        </w:trPr>
        <w:tc>
          <w:tcPr>
            <w:tcW w:w="666" w:type="dxa"/>
            <w:tcBorders>
              <w:top w:val="single" w:color="333333" w:sz="6" w:space="0"/>
              <w:left w:val="single" w:color="333333" w:sz="6" w:space="0"/>
              <w:bottom w:val="single" w:color="333333" w:sz="6" w:space="0"/>
            </w:tcBorders>
            <w:shd w:val="clear" w:color="auto" w:fill="FFFFFF"/>
            <w:tcMar>
              <w:top w:w="30" w:type="dxa"/>
              <w:left w:w="30" w:type="dxa"/>
              <w:bottom w:w="30" w:type="dxa"/>
              <w:right w:w="30" w:type="dxa"/>
            </w:tcMar>
          </w:tcPr>
          <w:p w14:paraId="091B3435">
            <w:pPr>
              <w:spacing w:line="520" w:lineRule="exact"/>
              <w:jc w:val="center"/>
              <w:rPr>
                <w:rFonts w:ascii="宋体" w:hAnsi="宋体" w:cs="宋体"/>
                <w:sz w:val="24"/>
              </w:rPr>
            </w:pPr>
            <w:r>
              <w:rPr>
                <w:rFonts w:hint="eastAsia" w:ascii="宋体" w:hAnsi="宋体" w:cs="宋体"/>
                <w:sz w:val="24"/>
              </w:rPr>
              <w:t>2</w:t>
            </w:r>
          </w:p>
        </w:tc>
        <w:tc>
          <w:tcPr>
            <w:tcW w:w="3927" w:type="dxa"/>
            <w:tcBorders>
              <w:top w:val="single" w:color="333333" w:sz="6" w:space="0"/>
              <w:left w:val="single" w:color="333333" w:sz="6" w:space="0"/>
              <w:bottom w:val="single" w:color="333333" w:sz="6" w:space="0"/>
            </w:tcBorders>
            <w:shd w:val="clear" w:color="auto" w:fill="FFFFFF"/>
            <w:tcMar>
              <w:top w:w="30" w:type="dxa"/>
              <w:left w:w="30" w:type="dxa"/>
              <w:bottom w:w="30" w:type="dxa"/>
              <w:right w:w="30" w:type="dxa"/>
            </w:tcMar>
          </w:tcPr>
          <w:p w14:paraId="35814CDD">
            <w:pPr>
              <w:spacing w:line="520" w:lineRule="exact"/>
              <w:jc w:val="center"/>
              <w:rPr>
                <w:rFonts w:ascii="宋体" w:hAnsi="宋体" w:cs="宋体"/>
                <w:sz w:val="24"/>
              </w:rPr>
            </w:pPr>
            <w:r>
              <w:rPr>
                <w:rFonts w:hint="eastAsia" w:ascii="宋体" w:hAnsi="宋体" w:cs="宋体"/>
                <w:sz w:val="24"/>
              </w:rPr>
              <w:t>龙岩市永荣矿业有限公司</w:t>
            </w:r>
          </w:p>
        </w:tc>
        <w:tc>
          <w:tcPr>
            <w:tcW w:w="1964" w:type="dxa"/>
            <w:tcBorders>
              <w:top w:val="single" w:color="333333" w:sz="6" w:space="0"/>
              <w:left w:val="single" w:color="333333" w:sz="6" w:space="0"/>
              <w:bottom w:val="single" w:color="333333" w:sz="6" w:space="0"/>
            </w:tcBorders>
            <w:shd w:val="clear" w:color="auto" w:fill="FFFFFF"/>
            <w:tcMar>
              <w:top w:w="30" w:type="dxa"/>
              <w:left w:w="30" w:type="dxa"/>
              <w:bottom w:w="30" w:type="dxa"/>
              <w:right w:w="30" w:type="dxa"/>
            </w:tcMar>
          </w:tcPr>
          <w:p w14:paraId="26748B44">
            <w:pPr>
              <w:spacing w:line="520" w:lineRule="exact"/>
              <w:jc w:val="center"/>
              <w:rPr>
                <w:rFonts w:ascii="宋体" w:hAnsi="宋体" w:cs="宋体"/>
                <w:sz w:val="24"/>
              </w:rPr>
            </w:pPr>
            <w:r>
              <w:rPr>
                <w:rFonts w:hint="eastAsia" w:ascii="宋体" w:hAnsi="宋体" w:cs="宋体"/>
                <w:sz w:val="24"/>
              </w:rPr>
              <w:t>60</w:t>
            </w:r>
          </w:p>
        </w:tc>
        <w:tc>
          <w:tcPr>
            <w:tcW w:w="1378" w:type="dxa"/>
            <w:tcBorders>
              <w:top w:val="single" w:color="333333" w:sz="6" w:space="0"/>
              <w:left w:val="single" w:color="333333" w:sz="6" w:space="0"/>
              <w:bottom w:val="single" w:color="333333" w:sz="6" w:space="0"/>
            </w:tcBorders>
            <w:shd w:val="clear" w:color="auto" w:fill="FFFFFF"/>
            <w:tcMar>
              <w:top w:w="30" w:type="dxa"/>
              <w:left w:w="30" w:type="dxa"/>
              <w:bottom w:w="30" w:type="dxa"/>
              <w:right w:w="30" w:type="dxa"/>
            </w:tcMar>
          </w:tcPr>
          <w:p w14:paraId="47A1B45D">
            <w:pPr>
              <w:spacing w:line="520" w:lineRule="exact"/>
              <w:jc w:val="center"/>
              <w:rPr>
                <w:rFonts w:ascii="宋体" w:hAnsi="宋体" w:cs="宋体"/>
                <w:sz w:val="24"/>
              </w:rPr>
            </w:pPr>
            <w:r>
              <w:rPr>
                <w:rFonts w:hint="eastAsia" w:ascii="宋体" w:hAnsi="宋体" w:cs="宋体"/>
                <w:sz w:val="24"/>
              </w:rPr>
              <w:t>30%</w:t>
            </w:r>
          </w:p>
        </w:tc>
      </w:tr>
    </w:tbl>
    <w:p w14:paraId="0DA9F54A">
      <w:pPr>
        <w:spacing w:line="520" w:lineRule="exact"/>
        <w:jc w:val="left"/>
        <w:rPr>
          <w:rFonts w:ascii="宋体" w:hAnsi="宋体"/>
          <w:sz w:val="24"/>
        </w:rPr>
      </w:pPr>
      <w:r>
        <w:rPr>
          <w:rFonts w:hint="eastAsia" w:ascii="宋体" w:hAnsi="宋体"/>
          <w:b/>
          <w:bCs/>
          <w:sz w:val="24"/>
        </w:rPr>
        <w:t>六、标的公司近期财务指标（金额币种单位：人民币</w:t>
      </w:r>
      <w:r>
        <w:rPr>
          <w:rFonts w:hint="eastAsia" w:ascii="宋体" w:hAnsi="宋体"/>
          <w:b/>
          <w:bCs/>
          <w:sz w:val="24"/>
          <w:lang w:val="en-US" w:eastAsia="zh-CN"/>
        </w:rPr>
        <w:t>万</w:t>
      </w:r>
      <w:r>
        <w:rPr>
          <w:rFonts w:hint="eastAsia" w:ascii="宋体" w:hAnsi="宋体"/>
          <w:b/>
          <w:bCs/>
          <w:sz w:val="24"/>
        </w:rPr>
        <w:t>元）</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2"/>
        <w:gridCol w:w="2874"/>
        <w:gridCol w:w="3270"/>
      </w:tblGrid>
      <w:tr w14:paraId="7CE2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932" w:type="dxa"/>
          </w:tcPr>
          <w:p w14:paraId="01CCD367">
            <w:pPr>
              <w:spacing w:line="520" w:lineRule="exact"/>
              <w:rPr>
                <w:rFonts w:ascii="宋体" w:hAnsi="宋体" w:cs="宋体"/>
                <w:sz w:val="24"/>
              </w:rPr>
            </w:pPr>
            <w:r>
              <w:rPr>
                <w:rFonts w:ascii="宋体" w:hAnsi="宋体" w:cs="宋体"/>
                <w:sz w:val="24"/>
              </w:rPr>
              <w:pict>
                <v:line id="__TH_L11" o:spid="_x0000_s1026" o:spt="20" style="position:absolute;left:0pt;margin-left:-5.4pt;margin-top:1.6pt;height:31.4pt;width:96.75pt;z-index:251659264;mso-width-relative:page;mso-height-relative:page;" coordsize="21600,21600" o:gfxdata="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T6QodUAAAAIAQAA&#10;DwAAAAAAAAABACAAAAAiAAAAZHJzL2Rvd25yZXYueG1sUEsBAhQAFAAAAAgAh07iQC9kZ4njAQAA&#10;ugMAAA4AAAAAAAAAAQAgAAAAJAEAAGRycy9lMm9Eb2MueG1sUEsFBgAAAAAGAAYAWQEAAHkFAAAA&#10;AA==&#10;">
                  <v:path arrowok="t"/>
                  <v:fill focussize="0,0"/>
                  <v:stroke weight="0.5pt"/>
                  <v:imagedata o:title=""/>
                  <o:lock v:ext="edit"/>
                </v:line>
              </w:pict>
            </w:r>
            <w:r>
              <w:rPr>
                <w:rFonts w:ascii="宋体" w:hAnsi="宋体" w:cs="宋体"/>
                <w:sz w:val="24"/>
              </w:rPr>
              <w:pict>
                <v:shape id="__TH_B2215" o:spid="_x0000_s1030" o:spt="202" type="#_x0000_t202" style="position:absolute;left:0pt;margin-left:35.8pt;margin-top:19.9pt;height:13.1pt;width:15pt;z-index:251662336;mso-width-relative:page;mso-height-relative:page;" filled="f" stroked="f" coordsize="21600,21600" o:gfxdata="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&#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mXaafVAAAACAEAAA8AAAAAAAAAAQAgAAAAIgAAAGRy&#10;cy9kb3ducmV2LnhtbFBLAQIUABQAAAAIAIdO4kChyF65CAIAAAsEAAAOAAAAAAAAAAEAIAAAACQB&#10;AABkcnMvZTJvRG9jLnhtbFBLBQYAAAAABgAGAFkBAACeBQAAAAA=&#10;">
                  <v:path/>
                  <v:fill on="f" focussize="0,0"/>
                  <v:stroke on="f" joinstyle="miter"/>
                  <v:imagedata o:title=""/>
                  <o:lock v:ext="edit"/>
                  <v:textbox inset="0mm,0mm,0mm,0mm">
                    <w:txbxContent>
                      <w:p w14:paraId="4D258011">
                        <w:pPr>
                          <w:snapToGrid w:val="0"/>
                          <w:rPr>
                            <w:color w:val="000000"/>
                          </w:rPr>
                        </w:pPr>
                        <w:r>
                          <w:rPr>
                            <w:rFonts w:hint="eastAsia"/>
                            <w:color w:val="000000"/>
                          </w:rPr>
                          <w:t>目</w:t>
                        </w:r>
                      </w:p>
                    </w:txbxContent>
                  </v:textbox>
                </v:shape>
              </w:pict>
            </w:r>
            <w:r>
              <w:rPr>
                <w:rFonts w:ascii="宋体" w:hAnsi="宋体" w:cs="宋体"/>
                <w:sz w:val="24"/>
              </w:rPr>
              <w:pict>
                <v:shape id="__TH_B1213" o:spid="_x0000_s1029" o:spt="202" type="#_x0000_t202" style="position:absolute;left:0pt;margin-left:63.65pt;margin-top:6.75pt;height:13.15pt;width:14.95pt;z-index:251661312;mso-width-relative:page;mso-height-relative:page;" filled="f" stroked="f" coordsize="21600,21600" o:gfxdata="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tjdF2AAAAAkBAAAPAAAAAAAAAAEAIAAAACIA&#10;AABkcnMvZG93bnJldi54bWxQSwECFAAUAAAACACHTuJAPxpdFgkCAAALBAAADgAAAAAAAAABACAA&#10;AAAnAQAAZHJzL2Uyb0RvYy54bWxQSwUGAAAAAAYABgBZAQAAogUAAAAA&#10;">
                  <v:path/>
                  <v:fill on="f" focussize="0,0"/>
                  <v:stroke on="f" joinstyle="miter"/>
                  <v:imagedata o:title=""/>
                  <o:lock v:ext="edit"/>
                  <v:textbox inset="0mm,0mm,0mm,0mm">
                    <w:txbxContent>
                      <w:p w14:paraId="7F1AC481">
                        <w:pPr>
                          <w:snapToGrid w:val="0"/>
                          <w:rPr>
                            <w:color w:val="000000"/>
                          </w:rPr>
                        </w:pPr>
                        <w:r>
                          <w:rPr>
                            <w:rFonts w:hint="eastAsia"/>
                            <w:color w:val="000000"/>
                          </w:rPr>
                          <w:t>份</w:t>
                        </w:r>
                      </w:p>
                    </w:txbxContent>
                  </v:textbox>
                </v:shape>
              </w:pict>
            </w:r>
            <w:r>
              <w:rPr>
                <w:rFonts w:ascii="宋体" w:hAnsi="宋体" w:cs="宋体"/>
                <w:sz w:val="24"/>
              </w:rPr>
              <w:pict>
                <v:shape id="__TH_B2114" o:spid="_x0000_s1028" o:spt="202" type="#_x0000_t202" style="position:absolute;left:0pt;margin-left:4pt;margin-top:15.1pt;height:13.15pt;width:15pt;z-index:251661312;mso-width-relative:page;mso-height-relative:page;" filled="f" stroked="f" coordsize="21600,21600" o:gfxdata="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I37/VAAAABgEAAA8AAAAAAAAAAQAgAAAAIgAAAGRy&#10;cy9kb3ducmV2LnhtbFBLAQIUABQAAAAIAIdO4kAvFrl4CAIAAAsEAAAOAAAAAAAAAAEAIAAAACQB&#10;AABkcnMvZTJvRG9jLnhtbFBLBQYAAAAABgAGAFkBAACeBQAAAAA=&#10;">
                  <v:path/>
                  <v:fill on="f" focussize="0,0"/>
                  <v:stroke on="f" joinstyle="miter"/>
                  <v:imagedata o:title=""/>
                  <o:lock v:ext="edit"/>
                  <v:textbox inset="0mm,0mm,0mm,0mm">
                    <w:txbxContent>
                      <w:p w14:paraId="5B13AB42">
                        <w:pPr>
                          <w:snapToGrid w:val="0"/>
                          <w:rPr>
                            <w:color w:val="000000"/>
                          </w:rPr>
                        </w:pPr>
                        <w:r>
                          <w:rPr>
                            <w:rFonts w:hint="eastAsia"/>
                            <w:color w:val="000000"/>
                          </w:rPr>
                          <w:t>项</w:t>
                        </w:r>
                      </w:p>
                    </w:txbxContent>
                  </v:textbox>
                </v:shape>
              </w:pict>
            </w:r>
            <w:r>
              <w:rPr>
                <w:rFonts w:ascii="宋体" w:hAnsi="宋体" w:cs="宋体"/>
                <w:sz w:val="24"/>
              </w:rPr>
              <w:pict>
                <v:shape id="__TH_B1112" o:spid="_x0000_s1027" o:spt="202" type="#_x0000_t202" style="position:absolute;left:0pt;margin-left:35.85pt;margin-top:2pt;height:13.1pt;width:14.95pt;z-index:251660288;mso-width-relative:page;mso-height-relative:page;" filled="f" stroked="f" coordsize="21600,21600" o:gfxdata="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&#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fxDzX1QAAAAcBAAAPAAAAAAAAAAEAIAAAACIAAABk&#10;cnMvZG93bnJldi54bWxQSwECFAAUAAAACACHTuJAZNIB2AkCAAAMBAAADgAAAAAAAAABACAAAAAk&#10;AQAAZHJzL2Uyb0RvYy54bWxQSwUGAAAAAAYABgBZAQAAnwUAAAAA&#10;">
                  <v:path/>
                  <v:fill on="f" focussize="0,0"/>
                  <v:stroke on="f" joinstyle="miter"/>
                  <v:imagedata o:title=""/>
                  <o:lock v:ext="edit"/>
                  <v:textbox inset="0mm,0mm,0mm,0mm">
                    <w:txbxContent>
                      <w:p w14:paraId="23F648C4">
                        <w:pPr>
                          <w:snapToGrid w:val="0"/>
                          <w:rPr>
                            <w:color w:val="000000"/>
                          </w:rPr>
                        </w:pPr>
                        <w:r>
                          <w:rPr>
                            <w:rFonts w:hint="eastAsia"/>
                            <w:color w:val="000000"/>
                          </w:rPr>
                          <w:t>年份</w:t>
                        </w:r>
                      </w:p>
                    </w:txbxContent>
                  </v:textbox>
                </v:shape>
              </w:pict>
            </w:r>
          </w:p>
        </w:tc>
        <w:tc>
          <w:tcPr>
            <w:tcW w:w="2874" w:type="dxa"/>
            <w:vAlign w:val="center"/>
          </w:tcPr>
          <w:p w14:paraId="45904FB2">
            <w:pPr>
              <w:pStyle w:val="10"/>
              <w:spacing w:line="560" w:lineRule="exact"/>
              <w:jc w:val="center"/>
            </w:pPr>
            <w:r>
              <w:rPr>
                <w:rFonts w:hint="eastAsia" w:ascii="宋体" w:hAnsi="宋体" w:cs="宋体"/>
              </w:rPr>
              <w:t>2025年度</w:t>
            </w:r>
          </w:p>
        </w:tc>
        <w:tc>
          <w:tcPr>
            <w:tcW w:w="3270" w:type="dxa"/>
            <w:vAlign w:val="center"/>
          </w:tcPr>
          <w:p w14:paraId="6DC3D905">
            <w:pPr>
              <w:pStyle w:val="10"/>
              <w:spacing w:line="560" w:lineRule="exact"/>
              <w:jc w:val="center"/>
            </w:pPr>
            <w:r>
              <w:rPr>
                <w:rFonts w:hint="eastAsia" w:ascii="宋体" w:hAnsi="宋体" w:cs="宋体"/>
              </w:rPr>
              <w:t>2026年度1-6月</w:t>
            </w:r>
          </w:p>
        </w:tc>
      </w:tr>
      <w:tr w14:paraId="02B6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2" w:type="dxa"/>
          </w:tcPr>
          <w:p w14:paraId="6D81F62F">
            <w:pPr>
              <w:spacing w:line="520" w:lineRule="exact"/>
              <w:jc w:val="center"/>
              <w:rPr>
                <w:rFonts w:ascii="宋体" w:hAnsi="宋体" w:cs="宋体"/>
                <w:sz w:val="24"/>
              </w:rPr>
            </w:pPr>
            <w:r>
              <w:rPr>
                <w:rFonts w:hint="eastAsia" w:ascii="宋体" w:hAnsi="宋体" w:cs="宋体"/>
                <w:sz w:val="24"/>
              </w:rPr>
              <w:t>总资产</w:t>
            </w:r>
          </w:p>
        </w:tc>
        <w:tc>
          <w:tcPr>
            <w:tcW w:w="2874" w:type="dxa"/>
            <w:vAlign w:val="center"/>
          </w:tcPr>
          <w:p w14:paraId="36EDEFD5">
            <w:pPr>
              <w:spacing w:line="520" w:lineRule="exact"/>
              <w:jc w:val="center"/>
              <w:rPr>
                <w:rFonts w:ascii="宋体" w:hAnsi="宋体" w:cs="宋体"/>
                <w:sz w:val="24"/>
              </w:rPr>
            </w:pPr>
            <w:r>
              <w:rPr>
                <w:rFonts w:hint="eastAsia" w:ascii="宋体" w:hAnsi="宋体" w:cs="宋体"/>
                <w:sz w:val="24"/>
              </w:rPr>
              <w:t>206.56</w:t>
            </w:r>
          </w:p>
        </w:tc>
        <w:tc>
          <w:tcPr>
            <w:tcW w:w="3270" w:type="dxa"/>
            <w:vAlign w:val="center"/>
          </w:tcPr>
          <w:p w14:paraId="19CC7992">
            <w:pPr>
              <w:spacing w:line="520" w:lineRule="exact"/>
              <w:jc w:val="center"/>
              <w:rPr>
                <w:rFonts w:ascii="宋体" w:hAnsi="宋体" w:cs="宋体"/>
                <w:sz w:val="24"/>
              </w:rPr>
            </w:pPr>
            <w:r>
              <w:rPr>
                <w:rFonts w:hint="eastAsia" w:ascii="宋体" w:hAnsi="宋体" w:cs="宋体"/>
                <w:sz w:val="24"/>
              </w:rPr>
              <w:t>209.23</w:t>
            </w:r>
          </w:p>
        </w:tc>
      </w:tr>
      <w:tr w14:paraId="62D0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2" w:type="dxa"/>
          </w:tcPr>
          <w:p w14:paraId="53490622">
            <w:pPr>
              <w:spacing w:line="520" w:lineRule="exact"/>
              <w:jc w:val="center"/>
              <w:rPr>
                <w:rFonts w:ascii="宋体" w:hAnsi="宋体" w:cs="宋体"/>
                <w:sz w:val="24"/>
              </w:rPr>
            </w:pPr>
            <w:r>
              <w:rPr>
                <w:rFonts w:hint="eastAsia" w:ascii="宋体" w:hAnsi="宋体" w:cs="宋体"/>
                <w:sz w:val="24"/>
              </w:rPr>
              <w:t>总负债</w:t>
            </w:r>
          </w:p>
        </w:tc>
        <w:tc>
          <w:tcPr>
            <w:tcW w:w="2874" w:type="dxa"/>
            <w:vAlign w:val="center"/>
          </w:tcPr>
          <w:p w14:paraId="1DA58C7E">
            <w:pPr>
              <w:spacing w:line="520" w:lineRule="exact"/>
              <w:jc w:val="center"/>
              <w:rPr>
                <w:rFonts w:ascii="宋体" w:hAnsi="宋体" w:cs="宋体"/>
                <w:sz w:val="24"/>
              </w:rPr>
            </w:pPr>
            <w:r>
              <w:rPr>
                <w:rFonts w:hint="eastAsia" w:ascii="宋体" w:hAnsi="宋体" w:cs="宋体"/>
                <w:sz w:val="24"/>
              </w:rPr>
              <w:t>0.07</w:t>
            </w:r>
          </w:p>
        </w:tc>
        <w:tc>
          <w:tcPr>
            <w:tcW w:w="3270" w:type="dxa"/>
            <w:vAlign w:val="center"/>
          </w:tcPr>
          <w:p w14:paraId="10D71AFF">
            <w:pPr>
              <w:spacing w:line="520" w:lineRule="exact"/>
              <w:jc w:val="center"/>
              <w:rPr>
                <w:rFonts w:ascii="宋体" w:hAnsi="宋体" w:cs="宋体"/>
                <w:sz w:val="24"/>
              </w:rPr>
            </w:pPr>
            <w:r>
              <w:rPr>
                <w:rFonts w:hint="eastAsia" w:ascii="宋体" w:hAnsi="宋体" w:cs="宋体"/>
                <w:sz w:val="24"/>
              </w:rPr>
              <w:t>0.07</w:t>
            </w:r>
          </w:p>
        </w:tc>
      </w:tr>
      <w:tr w14:paraId="425D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2" w:type="dxa"/>
          </w:tcPr>
          <w:p w14:paraId="3F8BFD1C">
            <w:pPr>
              <w:spacing w:line="520" w:lineRule="exact"/>
              <w:jc w:val="center"/>
              <w:rPr>
                <w:rFonts w:ascii="宋体" w:hAnsi="宋体" w:cs="宋体"/>
                <w:sz w:val="24"/>
              </w:rPr>
            </w:pPr>
            <w:r>
              <w:rPr>
                <w:rFonts w:hint="eastAsia" w:ascii="宋体" w:hAnsi="宋体" w:cs="宋体"/>
                <w:sz w:val="24"/>
              </w:rPr>
              <w:t>净资产</w:t>
            </w:r>
          </w:p>
        </w:tc>
        <w:tc>
          <w:tcPr>
            <w:tcW w:w="2874" w:type="dxa"/>
            <w:vAlign w:val="center"/>
          </w:tcPr>
          <w:p w14:paraId="18C795D3">
            <w:pPr>
              <w:spacing w:line="520" w:lineRule="exact"/>
              <w:jc w:val="center"/>
              <w:rPr>
                <w:rFonts w:ascii="宋体" w:hAnsi="宋体" w:cs="宋体"/>
                <w:sz w:val="24"/>
              </w:rPr>
            </w:pPr>
            <w:r>
              <w:rPr>
                <w:rFonts w:hint="eastAsia" w:ascii="宋体" w:hAnsi="宋体" w:cs="宋体"/>
                <w:sz w:val="24"/>
              </w:rPr>
              <w:t>206.49</w:t>
            </w:r>
          </w:p>
        </w:tc>
        <w:tc>
          <w:tcPr>
            <w:tcW w:w="3270" w:type="dxa"/>
            <w:vAlign w:val="center"/>
          </w:tcPr>
          <w:p w14:paraId="2FDDC9ED">
            <w:pPr>
              <w:spacing w:line="520" w:lineRule="exact"/>
              <w:jc w:val="center"/>
              <w:rPr>
                <w:rFonts w:ascii="宋体" w:hAnsi="宋体" w:cs="宋体"/>
                <w:sz w:val="24"/>
              </w:rPr>
            </w:pPr>
            <w:r>
              <w:rPr>
                <w:rFonts w:hint="eastAsia" w:ascii="宋体" w:hAnsi="宋体" w:cs="宋体"/>
                <w:sz w:val="24"/>
              </w:rPr>
              <w:t>209.16</w:t>
            </w:r>
          </w:p>
        </w:tc>
      </w:tr>
      <w:tr w14:paraId="469D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2" w:type="dxa"/>
          </w:tcPr>
          <w:p w14:paraId="47963110">
            <w:pPr>
              <w:spacing w:line="520" w:lineRule="exact"/>
              <w:jc w:val="center"/>
              <w:rPr>
                <w:rFonts w:ascii="宋体" w:hAnsi="宋体" w:cs="宋体"/>
                <w:sz w:val="24"/>
              </w:rPr>
            </w:pPr>
            <w:r>
              <w:rPr>
                <w:rFonts w:hint="eastAsia" w:ascii="宋体" w:hAnsi="宋体" w:cs="宋体"/>
                <w:sz w:val="24"/>
              </w:rPr>
              <w:t>营业收入</w:t>
            </w:r>
          </w:p>
        </w:tc>
        <w:tc>
          <w:tcPr>
            <w:tcW w:w="2874" w:type="dxa"/>
            <w:vAlign w:val="center"/>
          </w:tcPr>
          <w:p w14:paraId="3E93A4AB">
            <w:pPr>
              <w:spacing w:line="520" w:lineRule="exact"/>
              <w:jc w:val="center"/>
              <w:rPr>
                <w:rFonts w:ascii="宋体" w:hAnsi="宋体" w:cs="宋体"/>
                <w:sz w:val="24"/>
              </w:rPr>
            </w:pPr>
            <w:r>
              <w:rPr>
                <w:rFonts w:hint="eastAsia" w:ascii="宋体" w:hAnsi="宋体" w:cs="宋体"/>
                <w:sz w:val="24"/>
              </w:rPr>
              <w:t>-</w:t>
            </w:r>
          </w:p>
        </w:tc>
        <w:tc>
          <w:tcPr>
            <w:tcW w:w="3270" w:type="dxa"/>
            <w:vAlign w:val="center"/>
          </w:tcPr>
          <w:p w14:paraId="5A81E236">
            <w:pPr>
              <w:spacing w:line="520" w:lineRule="exact"/>
              <w:jc w:val="center"/>
              <w:rPr>
                <w:rFonts w:ascii="宋体" w:hAnsi="宋体" w:cs="宋体"/>
                <w:sz w:val="24"/>
              </w:rPr>
            </w:pPr>
            <w:r>
              <w:rPr>
                <w:rFonts w:hint="eastAsia" w:ascii="宋体" w:hAnsi="宋体" w:cs="宋体"/>
                <w:sz w:val="24"/>
              </w:rPr>
              <w:t>-</w:t>
            </w:r>
          </w:p>
        </w:tc>
      </w:tr>
      <w:tr w14:paraId="7551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2" w:type="dxa"/>
          </w:tcPr>
          <w:p w14:paraId="0F029ACE">
            <w:pPr>
              <w:spacing w:line="520" w:lineRule="exact"/>
              <w:jc w:val="center"/>
              <w:rPr>
                <w:rFonts w:ascii="宋体" w:hAnsi="宋体" w:cs="宋体"/>
                <w:sz w:val="24"/>
              </w:rPr>
            </w:pPr>
            <w:r>
              <w:rPr>
                <w:rFonts w:hint="eastAsia" w:ascii="宋体" w:hAnsi="宋体" w:cs="宋体"/>
                <w:sz w:val="24"/>
              </w:rPr>
              <w:t>净利润</w:t>
            </w:r>
          </w:p>
        </w:tc>
        <w:tc>
          <w:tcPr>
            <w:tcW w:w="2874" w:type="dxa"/>
            <w:vAlign w:val="center"/>
          </w:tcPr>
          <w:p w14:paraId="1D25F0BC">
            <w:pPr>
              <w:spacing w:line="520" w:lineRule="exact"/>
              <w:jc w:val="center"/>
              <w:rPr>
                <w:rFonts w:ascii="宋体" w:hAnsi="宋体" w:cs="宋体"/>
                <w:sz w:val="24"/>
              </w:rPr>
            </w:pPr>
            <w:r>
              <w:rPr>
                <w:rFonts w:hint="eastAsia" w:ascii="宋体" w:hAnsi="宋体" w:cs="宋体"/>
                <w:sz w:val="24"/>
              </w:rPr>
              <w:t>2.81</w:t>
            </w:r>
          </w:p>
        </w:tc>
        <w:tc>
          <w:tcPr>
            <w:tcW w:w="3270" w:type="dxa"/>
            <w:vAlign w:val="center"/>
          </w:tcPr>
          <w:p w14:paraId="262F2E3E">
            <w:pPr>
              <w:spacing w:line="520" w:lineRule="exact"/>
              <w:jc w:val="center"/>
              <w:rPr>
                <w:rFonts w:ascii="宋体" w:hAnsi="宋体" w:cs="宋体"/>
                <w:sz w:val="24"/>
              </w:rPr>
            </w:pPr>
            <w:r>
              <w:rPr>
                <w:rFonts w:hint="eastAsia" w:ascii="宋体" w:hAnsi="宋体" w:cs="宋体"/>
                <w:sz w:val="24"/>
              </w:rPr>
              <w:t>2.67</w:t>
            </w:r>
          </w:p>
        </w:tc>
      </w:tr>
    </w:tbl>
    <w:p w14:paraId="09501B1B">
      <w:pPr>
        <w:pStyle w:val="10"/>
        <w:shd w:val="clear" w:color="auto" w:fill="FFFFFF"/>
      </w:pPr>
      <w:r>
        <w:rPr>
          <w:rFonts w:hint="eastAsia"/>
          <w:color w:val="111111"/>
        </w:rPr>
        <w:t>备注：上述表格中的财务</w:t>
      </w:r>
      <w:r>
        <w:rPr>
          <w:rFonts w:hint="eastAsia"/>
        </w:rPr>
        <w:t>数据为转让方提供的标的公司财务数据。</w:t>
      </w:r>
    </w:p>
    <w:p w14:paraId="78A44D43">
      <w:pPr>
        <w:pStyle w:val="10"/>
        <w:shd w:val="clear" w:color="auto" w:fill="FFFFFF"/>
        <w:rPr>
          <w:rFonts w:hint="eastAsia" w:asciiTheme="minorEastAsia" w:hAnsiTheme="minorEastAsia" w:eastAsiaTheme="minorEastAsia" w:cstheme="minorEastAsia"/>
        </w:rPr>
      </w:pPr>
      <w:r>
        <w:rPr>
          <w:rFonts w:hint="eastAsia" w:asciiTheme="minorEastAsia" w:hAnsiTheme="minorEastAsia" w:eastAsiaTheme="minorEastAsia" w:cstheme="minorEastAsia"/>
        </w:rPr>
        <w:t>1.经评估，截至评估基准日2026年6月30日，转让标的评估价值为人民币39.74万元。本次转让为龙岩矿业发展有限公司持有的标的公司19%股权。</w:t>
      </w:r>
    </w:p>
    <w:p w14:paraId="2131E243">
      <w:pPr>
        <w:spacing w:line="440" w:lineRule="exact"/>
        <w:ind w:firstLine="42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rPr>
        <w:t>2.标的基本情</w:t>
      </w:r>
      <w:r>
        <w:rPr>
          <w:rFonts w:hint="eastAsia" w:asciiTheme="minorEastAsia" w:hAnsiTheme="minorEastAsia" w:eastAsiaTheme="minorEastAsia" w:cstheme="minorEastAsia"/>
          <w:kern w:val="0"/>
          <w:sz w:val="24"/>
        </w:rPr>
        <w:t>况详见中审亚太闽审字(2026)000076号《审计报告》、中审亚太闽审字(2026)000173号《审计报告》和厦翰和评报字【2026】第HH0135号《评估报告》。</w:t>
      </w:r>
    </w:p>
    <w:p w14:paraId="79EB7CD6">
      <w:pPr>
        <w:spacing w:line="520" w:lineRule="exact"/>
        <w:rPr>
          <w:rFonts w:ascii="宋体" w:hAnsi="宋体"/>
          <w:b/>
          <w:sz w:val="24"/>
        </w:rPr>
      </w:pPr>
      <w:r>
        <w:rPr>
          <w:rFonts w:hint="eastAsia" w:ascii="宋体" w:hAnsi="宋体"/>
          <w:b/>
          <w:sz w:val="24"/>
        </w:rPr>
        <w:t>七、产权转让行为批准情况</w:t>
      </w:r>
    </w:p>
    <w:p w14:paraId="39BB0D99">
      <w:pPr>
        <w:pStyle w:val="10"/>
        <w:shd w:val="clear" w:color="auto" w:fill="FFFFFF"/>
        <w:spacing w:line="520" w:lineRule="exact"/>
        <w:rPr>
          <w:kern w:val="2"/>
        </w:rPr>
      </w:pPr>
      <w:r>
        <w:rPr>
          <w:rFonts w:hint="eastAsia"/>
          <w:kern w:val="2"/>
        </w:rPr>
        <w:t>1.内部决策：</w:t>
      </w:r>
    </w:p>
    <w:p w14:paraId="4C5A4FA1">
      <w:pPr>
        <w:pStyle w:val="10"/>
        <w:shd w:val="clear" w:color="auto" w:fill="FFFFFF"/>
        <w:spacing w:line="520" w:lineRule="exact"/>
        <w:rPr>
          <w:rFonts w:hint="eastAsia"/>
          <w:kern w:val="2"/>
        </w:rPr>
      </w:pPr>
      <w:r>
        <w:rPr>
          <w:rFonts w:hint="eastAsia"/>
          <w:kern w:val="2"/>
          <w:lang w:eastAsia="zh-CN"/>
        </w:rPr>
        <w:t>（</w:t>
      </w:r>
      <w:r>
        <w:rPr>
          <w:rFonts w:hint="eastAsia"/>
          <w:kern w:val="2"/>
          <w:lang w:val="en-US" w:eastAsia="zh-CN"/>
        </w:rPr>
        <w:t>1）</w:t>
      </w:r>
      <w:r>
        <w:rPr>
          <w:rFonts w:hint="eastAsia" w:asciiTheme="minorEastAsia" w:hAnsiTheme="minorEastAsia" w:eastAsiaTheme="minorEastAsia" w:cstheme="minorEastAsia"/>
          <w:kern w:val="0"/>
        </w:rPr>
        <w:t>2026年7月2日</w:t>
      </w:r>
      <w:r>
        <w:rPr>
          <w:rFonts w:hint="eastAsia"/>
          <w:kern w:val="2"/>
        </w:rPr>
        <w:t>龙岩矿业发展有限公司班子会议议定同意公司转让持有的龙岩北荣矿业有限责任公司</w:t>
      </w:r>
      <w:r>
        <w:rPr>
          <w:rFonts w:hint="eastAsia" w:asciiTheme="minorEastAsia" w:hAnsiTheme="minorEastAsia" w:eastAsiaTheme="minorEastAsia" w:cstheme="minorEastAsia"/>
          <w:kern w:val="0"/>
        </w:rPr>
        <w:t>19%股</w:t>
      </w:r>
      <w:r>
        <w:rPr>
          <w:rFonts w:hint="eastAsia"/>
          <w:kern w:val="2"/>
        </w:rPr>
        <w:t>权；</w:t>
      </w:r>
    </w:p>
    <w:p w14:paraId="36F4AF75">
      <w:pPr>
        <w:pStyle w:val="10"/>
        <w:shd w:val="clear" w:color="auto" w:fill="FFFFFF"/>
        <w:spacing w:line="520" w:lineRule="exact"/>
        <w:rPr>
          <w:rFonts w:hint="default" w:eastAsia="宋体"/>
          <w:kern w:val="2"/>
          <w:lang w:val="en-US" w:eastAsia="zh-CN"/>
        </w:rPr>
      </w:pPr>
      <w:r>
        <w:rPr>
          <w:rFonts w:hint="eastAsia"/>
          <w:kern w:val="2"/>
          <w:lang w:eastAsia="zh-CN"/>
        </w:rPr>
        <w:t>（</w:t>
      </w:r>
      <w:r>
        <w:rPr>
          <w:rFonts w:hint="eastAsia"/>
          <w:kern w:val="2"/>
          <w:lang w:val="en-US" w:eastAsia="zh-CN"/>
        </w:rPr>
        <w:t>2）</w:t>
      </w:r>
      <w:r>
        <w:rPr>
          <w:rFonts w:hint="eastAsia" w:asciiTheme="minorEastAsia" w:hAnsiTheme="minorEastAsia" w:eastAsiaTheme="minorEastAsia" w:cstheme="minorEastAsia"/>
          <w:kern w:val="0"/>
          <w:lang w:val="en-US" w:eastAsia="zh-CN"/>
        </w:rPr>
        <w:t>2026年7月23日</w:t>
      </w:r>
      <w:r>
        <w:rPr>
          <w:rFonts w:hint="eastAsia"/>
          <w:kern w:val="2"/>
          <w:lang w:val="en-US" w:eastAsia="zh-CN"/>
        </w:rPr>
        <w:t>龙岩市永荣矿业有限公司《关于</w:t>
      </w:r>
      <w:r>
        <w:rPr>
          <w:rFonts w:hint="eastAsia" w:asciiTheme="minorEastAsia" w:hAnsiTheme="minorEastAsia" w:eastAsiaTheme="minorEastAsia" w:cstheme="minorEastAsia"/>
          <w:kern w:val="0"/>
          <w:lang w:val="en-US" w:eastAsia="zh-CN"/>
        </w:rPr>
        <w:t>19%</w:t>
      </w:r>
      <w:r>
        <w:rPr>
          <w:rFonts w:hint="eastAsia"/>
          <w:kern w:val="2"/>
          <w:lang w:val="en-US" w:eastAsia="zh-CN"/>
        </w:rPr>
        <w:t>股权转让及优先购买权行使的回复函》同意龙岩矿业发展有限公司转让持有的龙岩北荣矿业有限责任公司</w:t>
      </w:r>
      <w:r>
        <w:rPr>
          <w:rFonts w:hint="eastAsia" w:asciiTheme="minorEastAsia" w:hAnsiTheme="minorEastAsia" w:eastAsiaTheme="minorEastAsia" w:cstheme="minorEastAsia"/>
          <w:kern w:val="0"/>
          <w:lang w:val="en-US" w:eastAsia="zh-CN"/>
        </w:rPr>
        <w:t>19%</w:t>
      </w:r>
      <w:r>
        <w:rPr>
          <w:rFonts w:hint="eastAsia"/>
          <w:kern w:val="2"/>
          <w:lang w:val="en-US" w:eastAsia="zh-CN"/>
        </w:rPr>
        <w:t>股权。</w:t>
      </w:r>
    </w:p>
    <w:p w14:paraId="279AE18B">
      <w:pPr>
        <w:pStyle w:val="10"/>
        <w:shd w:val="clear" w:color="auto" w:fill="FFFFFF"/>
        <w:spacing w:line="520" w:lineRule="exact"/>
        <w:rPr>
          <w:kern w:val="2"/>
        </w:rPr>
      </w:pPr>
      <w:r>
        <w:rPr>
          <w:rFonts w:hint="eastAsia"/>
          <w:kern w:val="2"/>
        </w:rPr>
        <w:t>2.上级批准：</w:t>
      </w:r>
    </w:p>
    <w:p w14:paraId="4813FFC4">
      <w:pPr>
        <w:pStyle w:val="10"/>
        <w:shd w:val="clear" w:color="auto" w:fill="FFFFFF"/>
        <w:rPr>
          <w:rFonts w:asciiTheme="minorEastAsia" w:hAnsiTheme="minorEastAsia" w:eastAsiaTheme="minorEastAsia" w:cstheme="minorEastAsia"/>
        </w:rPr>
      </w:pPr>
      <w:r>
        <w:rPr>
          <w:rFonts w:hint="eastAsia" w:asciiTheme="minorEastAsia" w:hAnsiTheme="minorEastAsia" w:eastAsiaTheme="minorEastAsia" w:cstheme="minorEastAsia"/>
          <w:kern w:val="0"/>
        </w:rPr>
        <w:t>2026年8月3日</w:t>
      </w:r>
      <w:r>
        <w:rPr>
          <w:rFonts w:hint="eastAsia"/>
          <w:kern w:val="2"/>
        </w:rPr>
        <w:t>中共龙岩投资发展集团有限公司委员会研究同意龙岩矿业发展有限公司公开挂牌转让其持有的龙岩北荣矿业</w:t>
      </w:r>
      <w:bookmarkStart w:id="2" w:name="_GoBack"/>
      <w:bookmarkEnd w:id="2"/>
      <w:r>
        <w:rPr>
          <w:rFonts w:hint="eastAsia"/>
          <w:kern w:val="2"/>
        </w:rPr>
        <w:t>有限责任公司</w:t>
      </w:r>
      <w:r>
        <w:rPr>
          <w:rFonts w:hint="eastAsia" w:asciiTheme="minorEastAsia" w:hAnsiTheme="minorEastAsia" w:eastAsiaTheme="minorEastAsia" w:cstheme="minorEastAsia"/>
          <w:kern w:val="0"/>
        </w:rPr>
        <w:t>19%</w:t>
      </w:r>
      <w:r>
        <w:rPr>
          <w:rFonts w:hint="eastAsia"/>
          <w:kern w:val="2"/>
        </w:rPr>
        <w:t>股权。</w:t>
      </w:r>
    </w:p>
    <w:p w14:paraId="49AC9955">
      <w:pPr>
        <w:pStyle w:val="10"/>
        <w:shd w:val="clear" w:color="auto" w:fill="FFFFFF"/>
        <w:spacing w:line="520" w:lineRule="exact"/>
        <w:ind w:firstLine="0" w:firstLineChars="0"/>
        <w:rPr>
          <w:rFonts w:asciiTheme="minorEastAsia" w:hAnsiTheme="minorEastAsia" w:eastAsiaTheme="minorEastAsia"/>
          <w:b/>
          <w:bCs/>
        </w:rPr>
      </w:pPr>
      <w:r>
        <w:rPr>
          <w:rFonts w:hint="eastAsia" w:asciiTheme="minorEastAsia" w:hAnsiTheme="minorEastAsia" w:eastAsiaTheme="minorEastAsia"/>
          <w:b/>
          <w:bCs/>
        </w:rPr>
        <w:t>八、竞买人应具备的资格条件</w:t>
      </w:r>
    </w:p>
    <w:p w14:paraId="786A3A80">
      <w:pPr>
        <w:spacing w:line="520" w:lineRule="exact"/>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1.凡遵守中华人民共和国法律、法规、具有独立法人资格的国内外企业、其他组织和具有完全民事行为能力的自然人均可参加竞买，但已经被列入失信被执行人名单（截止报名时间）的除外。</w:t>
      </w:r>
    </w:p>
    <w:p w14:paraId="0FC8827D">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2.此次转让不接受联合体报名。</w:t>
      </w:r>
    </w:p>
    <w:p w14:paraId="262BC475">
      <w:pPr>
        <w:spacing w:line="520" w:lineRule="exact"/>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3.符合国家法律、行政法规规定的其他条件。</w:t>
      </w:r>
    </w:p>
    <w:p w14:paraId="76EBEBD0">
      <w:pPr>
        <w:pStyle w:val="10"/>
        <w:shd w:val="clear" w:color="auto" w:fill="FFFFFF"/>
        <w:spacing w:line="520" w:lineRule="exact"/>
        <w:ind w:firstLine="0" w:firstLineChars="0"/>
        <w:rPr>
          <w:rFonts w:asciiTheme="minorEastAsia" w:hAnsiTheme="minorEastAsia" w:eastAsiaTheme="minorEastAsia"/>
          <w:color w:val="111111"/>
        </w:rPr>
      </w:pPr>
      <w:r>
        <w:rPr>
          <w:rStyle w:val="15"/>
          <w:rFonts w:hint="eastAsia" w:asciiTheme="minorEastAsia" w:hAnsiTheme="minorEastAsia" w:eastAsiaTheme="minorEastAsia"/>
          <w:color w:val="111111"/>
        </w:rPr>
        <w:t>九、竞买人（受让方）应接受的主要交易条件</w:t>
      </w:r>
    </w:p>
    <w:p w14:paraId="4CF826CD">
      <w:pPr>
        <w:pStyle w:val="10"/>
        <w:shd w:val="clear" w:color="auto" w:fill="FFFFFF"/>
        <w:spacing w:line="520" w:lineRule="exact"/>
        <w:rPr>
          <w:rFonts w:ascii="宋体" w:hAnsi="宋体" w:cs="宋体"/>
        </w:rPr>
      </w:pPr>
      <w:r>
        <w:rPr>
          <w:rFonts w:hint="eastAsia" w:ascii="宋体" w:hAnsi="宋体" w:cs="宋体"/>
        </w:rPr>
        <w:t>1.受让方必须在成交之日起5个工作日内签订《股权转让合同》，并在合同生效之日起五个工作日内一次性付清全部转让价款。</w:t>
      </w:r>
    </w:p>
    <w:p w14:paraId="3CCC2001">
      <w:pPr>
        <w:pStyle w:val="10"/>
        <w:shd w:val="clear" w:color="auto" w:fill="FFFFFF"/>
        <w:spacing w:line="520" w:lineRule="exact"/>
        <w:rPr>
          <w:rFonts w:ascii="宋体" w:hAnsi="宋体" w:cs="宋体"/>
        </w:rPr>
      </w:pPr>
      <w:r>
        <w:rPr>
          <w:rFonts w:hint="eastAsia" w:ascii="宋体" w:hAnsi="宋体" w:cs="宋体"/>
        </w:rPr>
        <w:t>2.本次股权交易的基准日即为评估基准日，自交易基准日起至股权工商变更登记办理完成期间，标的公司发生的损益，受让方按照其受让的股权比例享有或承担。</w:t>
      </w:r>
    </w:p>
    <w:p w14:paraId="1C784788">
      <w:pPr>
        <w:pStyle w:val="10"/>
        <w:shd w:val="clear" w:color="auto" w:fill="FFFFFF"/>
        <w:spacing w:line="520" w:lineRule="exact"/>
        <w:rPr>
          <w:rFonts w:ascii="宋体" w:hAnsi="宋体" w:cs="宋体"/>
        </w:rPr>
      </w:pPr>
      <w:r>
        <w:rPr>
          <w:rFonts w:hint="eastAsia" w:ascii="宋体" w:hAnsi="宋体" w:cs="宋体"/>
        </w:rPr>
        <w:t>3.股权转让后标的公司债权债务及原享有的权利和应承担的义务随股权转让亦转由受让方按照其受让的股权比例享有与承担。</w:t>
      </w:r>
    </w:p>
    <w:p w14:paraId="5B3D2A25">
      <w:pPr>
        <w:pStyle w:val="10"/>
        <w:shd w:val="clear" w:color="auto" w:fill="FFFFFF"/>
        <w:spacing w:line="520" w:lineRule="exact"/>
        <w:rPr>
          <w:rFonts w:ascii="宋体" w:hAnsi="宋体" w:cs="宋体"/>
        </w:rPr>
      </w:pPr>
      <w:r>
        <w:rPr>
          <w:rFonts w:hint="eastAsia" w:ascii="宋体" w:hAnsi="宋体" w:cs="宋体"/>
        </w:rPr>
        <w:t>4.转让标的交易过程中涉及的有关税费，根据国家相关规定由转、受让方各自承担，若国家无明确规定的，由受让方承担。</w:t>
      </w:r>
    </w:p>
    <w:p w14:paraId="3A42DCD9">
      <w:pPr>
        <w:pStyle w:val="10"/>
        <w:shd w:val="clear" w:color="auto" w:fill="FFFFFF"/>
        <w:spacing w:line="520" w:lineRule="exact"/>
        <w:rPr>
          <w:rFonts w:ascii="宋体" w:hAnsi="宋体" w:cs="宋体"/>
        </w:rPr>
      </w:pPr>
      <w:r>
        <w:rPr>
          <w:rFonts w:hint="eastAsia" w:ascii="宋体" w:hAnsi="宋体" w:cs="宋体"/>
        </w:rPr>
        <w:t>5.本次股权转让仅涉及标的公司股权权属变更，不涉及公司董事、监事、高级管理人员的聘任、调整及相关人事安排，不存在职工安置问题。</w:t>
      </w:r>
    </w:p>
    <w:p w14:paraId="59786FF7">
      <w:pPr>
        <w:pStyle w:val="10"/>
        <w:shd w:val="clear" w:color="auto" w:fill="FFFFFF"/>
        <w:spacing w:line="520" w:lineRule="exact"/>
        <w:rPr>
          <w:rFonts w:ascii="宋体" w:hAnsi="宋体" w:cs="宋体"/>
        </w:rPr>
      </w:pPr>
      <w:r>
        <w:rPr>
          <w:rFonts w:hint="eastAsia" w:ascii="宋体" w:hAnsi="宋体" w:cs="宋体"/>
        </w:rPr>
        <w:t>6.依据北荣公司章程规定，现有股东在同等交易条件下，对本次拟出让的股权享有优先受让权。</w:t>
      </w:r>
    </w:p>
    <w:p w14:paraId="42366201">
      <w:pPr>
        <w:pStyle w:val="10"/>
        <w:shd w:val="clear" w:color="auto" w:fill="FFFFFF"/>
        <w:spacing w:line="520" w:lineRule="exact"/>
        <w:rPr>
          <w:rFonts w:asciiTheme="minorEastAsia" w:hAnsiTheme="minorEastAsia" w:eastAsiaTheme="minorEastAsia"/>
          <w:color w:val="111111"/>
        </w:rPr>
      </w:pPr>
      <w:r>
        <w:rPr>
          <w:rFonts w:hint="eastAsia" w:ascii="宋体" w:hAnsi="宋体" w:cs="宋体"/>
        </w:rPr>
        <w:t>7.其他交易条件以竞价文件和转、受让双方签订的《股权转让合同》为准。</w:t>
      </w:r>
    </w:p>
    <w:p w14:paraId="03A97ED4">
      <w:pPr>
        <w:tabs>
          <w:tab w:val="right" w:pos="9638"/>
        </w:tabs>
        <w:spacing w:line="520" w:lineRule="exact"/>
        <w:rPr>
          <w:rFonts w:asciiTheme="minorEastAsia" w:hAnsiTheme="minorEastAsia" w:eastAsiaTheme="minorEastAsia"/>
          <w:b/>
          <w:bCs/>
          <w:sz w:val="24"/>
        </w:rPr>
      </w:pPr>
      <w:r>
        <w:rPr>
          <w:rFonts w:hint="eastAsia" w:asciiTheme="minorEastAsia" w:hAnsiTheme="minorEastAsia" w:eastAsiaTheme="minorEastAsia"/>
          <w:b/>
          <w:bCs/>
          <w:sz w:val="24"/>
        </w:rPr>
        <w:t>十、交易保证金</w:t>
      </w:r>
      <w:r>
        <w:rPr>
          <w:rFonts w:asciiTheme="minorEastAsia" w:hAnsiTheme="minorEastAsia" w:eastAsiaTheme="minorEastAsia"/>
          <w:b/>
          <w:bCs/>
          <w:sz w:val="24"/>
        </w:rPr>
        <w:tab/>
      </w:r>
    </w:p>
    <w:p w14:paraId="1271F2AC">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保证金人民币8万元，竞买人必须于报名截止日17时之前缴清交易保证金。交易保证金缴至指定账户（开户行：厦门银行股份有限公司龙岩分行，户名：龙岩市产权交易中心有限公司，账号：80110120420000825），报名参加的竞买人与缴纳交易保证金名称要一致。未按规定时间、金额缴纳交易保证金的，无权参与本次竞价活动。</w:t>
      </w:r>
    </w:p>
    <w:p w14:paraId="4C80C089">
      <w:pPr>
        <w:spacing w:line="520" w:lineRule="exact"/>
        <w:ind w:firstLine="480" w:firstLineChars="200"/>
        <w:rPr>
          <w:rFonts w:ascii="宋体" w:hAnsi="宋体" w:cs="宋体"/>
          <w:color w:val="000000"/>
          <w:kern w:val="0"/>
          <w:sz w:val="24"/>
        </w:rPr>
      </w:pPr>
      <w:r>
        <w:rPr>
          <w:rFonts w:hint="eastAsia" w:asciiTheme="minorEastAsia" w:hAnsiTheme="minorEastAsia" w:eastAsiaTheme="minorEastAsia"/>
          <w:sz w:val="24"/>
        </w:rPr>
        <w:t>2.受让方必须在成交之日起3个工作日内与本公司签订《成交确认书》，</w:t>
      </w:r>
      <w:r>
        <w:rPr>
          <w:rFonts w:hint="eastAsia" w:ascii="宋体" w:hAnsi="宋体" w:cs="宋体" w:eastAsiaTheme="minorEastAsia"/>
          <w:color w:val="000000"/>
          <w:kern w:val="0"/>
          <w:sz w:val="24"/>
        </w:rPr>
        <w:t>交易保证金</w:t>
      </w:r>
      <w:r>
        <w:rPr>
          <w:rFonts w:hint="eastAsia" w:ascii="宋体" w:hAnsi="宋体" w:cs="宋体"/>
          <w:color w:val="000000"/>
          <w:kern w:val="0"/>
          <w:sz w:val="24"/>
        </w:rPr>
        <w:t>充抵转让款。</w:t>
      </w:r>
    </w:p>
    <w:p w14:paraId="03EEDE07">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3.其他竞买人的保证金将于挂牌竞价转让结束之日起五个工作日内予以无息退还。</w:t>
      </w:r>
    </w:p>
    <w:p w14:paraId="0751D95E">
      <w:pPr>
        <w:spacing w:line="520" w:lineRule="exact"/>
        <w:rPr>
          <w:rFonts w:asciiTheme="minorEastAsia" w:hAnsiTheme="minorEastAsia" w:eastAsiaTheme="minorEastAsia"/>
          <w:b/>
          <w:bCs/>
          <w:sz w:val="24"/>
        </w:rPr>
      </w:pPr>
      <w:r>
        <w:rPr>
          <w:rFonts w:hint="eastAsia" w:asciiTheme="minorEastAsia" w:hAnsiTheme="minorEastAsia" w:eastAsiaTheme="minorEastAsia"/>
          <w:b/>
          <w:bCs/>
          <w:sz w:val="24"/>
        </w:rPr>
        <w:t>十一、竞买手续</w:t>
      </w:r>
    </w:p>
    <w:p w14:paraId="6BA2EDAD">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1.有意参加竞价者应提供如下有效证照</w:t>
      </w:r>
      <w:r>
        <w:rPr>
          <w:rFonts w:hint="eastAsia" w:asciiTheme="minorEastAsia" w:hAnsiTheme="minorEastAsia" w:eastAsiaTheme="minorEastAsia"/>
          <w:color w:val="000000"/>
          <w:sz w:val="24"/>
        </w:rPr>
        <w:t>(加盖公章的复印件一式一份，</w:t>
      </w:r>
      <w:r>
        <w:rPr>
          <w:rStyle w:val="16"/>
          <w:rFonts w:hint="eastAsia" w:asciiTheme="minorEastAsia" w:hAnsiTheme="minorEastAsia" w:eastAsiaTheme="minorEastAsia"/>
          <w:color w:val="000000"/>
          <w:spacing w:val="0"/>
          <w:sz w:val="24"/>
        </w:rPr>
        <w:t>提供的一切项目资料应合法、真实、有效，并对此承担法律责任</w:t>
      </w:r>
      <w:r>
        <w:rPr>
          <w:rFonts w:hint="eastAsia" w:asciiTheme="minorEastAsia" w:hAnsiTheme="minorEastAsia" w:eastAsiaTheme="minorEastAsia"/>
          <w:color w:val="000000"/>
          <w:sz w:val="24"/>
        </w:rPr>
        <w:t>)</w:t>
      </w:r>
      <w:r>
        <w:rPr>
          <w:rFonts w:hint="eastAsia" w:asciiTheme="minorEastAsia" w:hAnsiTheme="minorEastAsia" w:eastAsiaTheme="minorEastAsia"/>
          <w:sz w:val="24"/>
        </w:rPr>
        <w:t>。</w:t>
      </w:r>
    </w:p>
    <w:p w14:paraId="42F626EB">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（1）企业应提供相关证照副本、法定代表人（负责人）资格证明书、法定代表人（负责人）身份证；</w:t>
      </w:r>
    </w:p>
    <w:p w14:paraId="09B1E9D1">
      <w:pPr>
        <w:spacing w:line="520" w:lineRule="exact"/>
        <w:ind w:firstLine="480" w:firstLineChars="200"/>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（2）自然人提供身份证、护照等有效证件；</w:t>
      </w:r>
    </w:p>
    <w:p w14:paraId="0DD61C14">
      <w:pPr>
        <w:spacing w:line="520" w:lineRule="exact"/>
        <w:ind w:firstLine="480" w:firstLineChars="200"/>
        <w:rPr>
          <w:rFonts w:asciiTheme="minorEastAsia" w:hAnsiTheme="minorEastAsia" w:eastAsiaTheme="minorEastAsia"/>
          <w:sz w:val="24"/>
          <w:shd w:val="clear" w:color="auto" w:fill="FFFFFF"/>
        </w:rPr>
      </w:pPr>
      <w:r>
        <w:rPr>
          <w:rFonts w:hint="eastAsia" w:asciiTheme="minorEastAsia" w:hAnsiTheme="minorEastAsia" w:eastAsiaTheme="minorEastAsia"/>
          <w:sz w:val="24"/>
          <w:shd w:val="clear" w:color="auto" w:fill="FFFFFF"/>
        </w:rPr>
        <w:t>（3）签署完整的承诺书；</w:t>
      </w:r>
    </w:p>
    <w:p w14:paraId="327DD033">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（4）挂牌竞价转让文件清单签收确认单；</w:t>
      </w:r>
    </w:p>
    <w:p w14:paraId="4B08C6C1">
      <w:pPr>
        <w:spacing w:line="5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如法定代表人（负责人）无法亲自到现场参加竞价的，应提供授权委托书原件和委托代理人身份证明。</w:t>
      </w:r>
    </w:p>
    <w:p w14:paraId="2F8561A2">
      <w:pPr>
        <w:widowControl/>
        <w:shd w:val="clear" w:color="auto" w:fill="FFFFFF"/>
        <w:spacing w:line="520" w:lineRule="exact"/>
        <w:ind w:firstLine="480" w:firstLineChars="200"/>
        <w:rPr>
          <w:rFonts w:cs="宋体" w:asciiTheme="minorEastAsia" w:hAnsiTheme="minorEastAsia" w:eastAsiaTheme="minorEastAsia"/>
          <w:color w:val="000000" w:themeColor="text1"/>
          <w:kern w:val="0"/>
          <w:sz w:val="24"/>
        </w:rPr>
      </w:pPr>
      <w:r>
        <w:rPr>
          <w:rFonts w:cs="宋体" w:asciiTheme="minorEastAsia" w:hAnsiTheme="minorEastAsia" w:eastAsiaTheme="minorEastAsia"/>
          <w:color w:val="000000" w:themeColor="text1"/>
          <w:kern w:val="0"/>
          <w:sz w:val="24"/>
        </w:rPr>
        <w:t>2.报名方式：</w:t>
      </w:r>
    </w:p>
    <w:p w14:paraId="15F835AE">
      <w:pPr>
        <w:widowControl/>
        <w:shd w:val="clear" w:color="auto" w:fill="FFFFFF"/>
        <w:spacing w:line="520" w:lineRule="exact"/>
        <w:ind w:firstLine="480" w:firstLineChars="200"/>
        <w:rPr>
          <w:rFonts w:cs="宋体" w:asciiTheme="minorEastAsia" w:hAnsiTheme="minorEastAsia" w:eastAsiaTheme="minorEastAsia"/>
          <w:color w:val="000000" w:themeColor="text1"/>
          <w:kern w:val="0"/>
          <w:sz w:val="24"/>
        </w:rPr>
      </w:pPr>
      <w:r>
        <w:rPr>
          <w:rFonts w:cs="宋体" w:asciiTheme="minorEastAsia" w:hAnsiTheme="minorEastAsia" w:eastAsiaTheme="minorEastAsia"/>
          <w:color w:val="000000" w:themeColor="text1"/>
          <w:kern w:val="0"/>
          <w:sz w:val="24"/>
        </w:rPr>
        <w:t>(1)现场报名：竞买人应提供已足额</w:t>
      </w:r>
      <w:r>
        <w:rPr>
          <w:rFonts w:hint="eastAsia" w:cs="宋体" w:asciiTheme="minorEastAsia" w:hAnsiTheme="minorEastAsia" w:eastAsiaTheme="minorEastAsia"/>
          <w:color w:val="000000" w:themeColor="text1"/>
          <w:kern w:val="0"/>
          <w:sz w:val="24"/>
        </w:rPr>
        <w:t>缴纳交易</w:t>
      </w:r>
      <w:r>
        <w:rPr>
          <w:rFonts w:cs="宋体" w:asciiTheme="minorEastAsia" w:hAnsiTheme="minorEastAsia" w:eastAsiaTheme="minorEastAsia"/>
          <w:color w:val="000000" w:themeColor="text1"/>
          <w:kern w:val="0"/>
          <w:sz w:val="24"/>
        </w:rPr>
        <w:t>保证金的证明材料，到本公司换取</w:t>
      </w:r>
      <w:r>
        <w:rPr>
          <w:rFonts w:hint="eastAsia" w:cs="宋体" w:asciiTheme="minorEastAsia" w:hAnsiTheme="minorEastAsia" w:eastAsiaTheme="minorEastAsia"/>
          <w:color w:val="000000" w:themeColor="text1"/>
          <w:kern w:val="0"/>
          <w:sz w:val="24"/>
        </w:rPr>
        <w:t>交易保证金</w:t>
      </w:r>
      <w:r>
        <w:rPr>
          <w:rFonts w:cs="宋体" w:asciiTheme="minorEastAsia" w:hAnsiTheme="minorEastAsia" w:eastAsiaTheme="minorEastAsia"/>
          <w:color w:val="000000" w:themeColor="text1"/>
          <w:kern w:val="0"/>
          <w:sz w:val="24"/>
        </w:rPr>
        <w:t>收款凭据。</w:t>
      </w:r>
    </w:p>
    <w:p w14:paraId="303854B2">
      <w:pPr>
        <w:widowControl/>
        <w:shd w:val="clear" w:color="auto" w:fill="FFFFFF"/>
        <w:spacing w:line="520" w:lineRule="exact"/>
        <w:ind w:firstLine="480" w:firstLineChars="200"/>
        <w:rPr>
          <w:rFonts w:cs="宋体" w:asciiTheme="minorEastAsia" w:hAnsiTheme="minorEastAsia" w:eastAsiaTheme="minorEastAsia"/>
          <w:color w:val="000000" w:themeColor="text1"/>
          <w:kern w:val="0"/>
          <w:sz w:val="24"/>
        </w:rPr>
      </w:pPr>
      <w:r>
        <w:rPr>
          <w:rFonts w:cs="宋体" w:asciiTheme="minorEastAsia" w:hAnsiTheme="minorEastAsia" w:eastAsiaTheme="minorEastAsia"/>
          <w:color w:val="000000" w:themeColor="text1"/>
          <w:kern w:val="0"/>
          <w:sz w:val="24"/>
        </w:rPr>
        <w:t>(2)网上报名：竞买人应在报名截止时间之前将交易保证金缴纳至本公司指定账户（不计利息，以到账时间为准），并在网上办理报名竞价手续时提交相关材料凭证。</w:t>
      </w:r>
    </w:p>
    <w:p w14:paraId="3D8A869A">
      <w:pPr>
        <w:widowControl/>
        <w:shd w:val="clear" w:color="auto" w:fill="FFFFFF"/>
        <w:spacing w:line="520" w:lineRule="exact"/>
        <w:ind w:firstLine="480" w:firstLineChars="200"/>
        <w:jc w:val="left"/>
        <w:rPr>
          <w:rFonts w:cs="宋体" w:asciiTheme="minorEastAsia" w:hAnsiTheme="minorEastAsia" w:eastAsiaTheme="minorEastAsia"/>
          <w:color w:val="000000" w:themeColor="text1"/>
          <w:kern w:val="0"/>
          <w:sz w:val="24"/>
        </w:rPr>
      </w:pPr>
      <w:r>
        <w:rPr>
          <w:rFonts w:cs="宋体" w:asciiTheme="minorEastAsia" w:hAnsiTheme="minorEastAsia" w:eastAsiaTheme="minorEastAsia"/>
          <w:color w:val="000000" w:themeColor="text1"/>
          <w:kern w:val="0"/>
          <w:sz w:val="24"/>
        </w:rPr>
        <w:t>3.竞买人应自行至权益云网站学习竞价流程，注册竞价系统账号并在报名截止时间之前登录竞价系统申请竞价（</w:t>
      </w:r>
      <w:r>
        <w:rPr>
          <w:rFonts w:cs="宋体" w:asciiTheme="minorEastAsia" w:hAnsiTheme="minorEastAsia" w:eastAsiaTheme="minorEastAsia"/>
          <w:b/>
          <w:bCs/>
          <w:color w:val="000000" w:themeColor="text1"/>
          <w:kern w:val="0"/>
          <w:sz w:val="24"/>
        </w:rPr>
        <w:t>支持微信公众号“权益云交易平台”</w:t>
      </w:r>
      <w:r>
        <w:rPr>
          <w:rFonts w:cs="宋体" w:asciiTheme="minorEastAsia" w:hAnsiTheme="minorEastAsia" w:eastAsiaTheme="minorEastAsia"/>
          <w:color w:val="000000" w:themeColor="text1"/>
          <w:kern w:val="0"/>
          <w:sz w:val="24"/>
        </w:rPr>
        <w:t>），根据流程上传相关资料，若有疑问应及时咨询本公司业务部门；由于竞买人竞价材料未按时寄达、竞价申请未按时提交而导致本公司无法进行资格审核、竞价账号未注册或者未激活的，均视为竞买人放弃本次竞价报名。</w:t>
      </w:r>
    </w:p>
    <w:p w14:paraId="5C8A0D91">
      <w:pPr>
        <w:widowControl/>
        <w:shd w:val="clear" w:color="auto" w:fill="FFFFFF"/>
        <w:spacing w:line="520" w:lineRule="exact"/>
        <w:ind w:firstLine="480" w:firstLineChars="200"/>
        <w:jc w:val="left"/>
        <w:rPr>
          <w:rFonts w:cs="宋体" w:asciiTheme="minorEastAsia" w:hAnsiTheme="minorEastAsia" w:eastAsiaTheme="minorEastAsia"/>
          <w:color w:val="000000" w:themeColor="text1"/>
          <w:kern w:val="0"/>
          <w:sz w:val="24"/>
        </w:rPr>
      </w:pPr>
      <w:r>
        <w:rPr>
          <w:rFonts w:cs="宋体" w:asciiTheme="minorEastAsia" w:hAnsiTheme="minorEastAsia" w:eastAsiaTheme="minorEastAsia"/>
          <w:color w:val="000000" w:themeColor="text1"/>
          <w:kern w:val="0"/>
          <w:sz w:val="24"/>
        </w:rPr>
        <w:t>4.如委托人撤回竞价标的，竞买人已经交保证金的，保证金即予无息退还，</w:t>
      </w:r>
      <w:r>
        <w:rPr>
          <w:rFonts w:cs="宋体" w:asciiTheme="minorEastAsia" w:hAnsiTheme="minorEastAsia" w:eastAsiaTheme="minorEastAsia"/>
          <w:bCs/>
          <w:color w:val="000000" w:themeColor="text1"/>
          <w:kern w:val="0"/>
          <w:sz w:val="24"/>
        </w:rPr>
        <w:t>竞买人对此不得有异议，且本公司不对竞买人承担任何损失，此是竞买人参与本次竞价的先决条件。竞买人一旦报名成功，即视为同意本公司的前述免责内容</w:t>
      </w:r>
      <w:r>
        <w:rPr>
          <w:rFonts w:hint="eastAsia" w:cs="宋体" w:asciiTheme="minorEastAsia" w:hAnsiTheme="minorEastAsia" w:eastAsiaTheme="minorEastAsia"/>
          <w:b/>
          <w:bCs/>
          <w:color w:val="000000" w:themeColor="text1"/>
          <w:kern w:val="0"/>
          <w:sz w:val="24"/>
        </w:rPr>
        <w:t>。</w:t>
      </w:r>
    </w:p>
    <w:p w14:paraId="6B835CE9">
      <w:pPr>
        <w:spacing w:line="520" w:lineRule="exact"/>
        <w:rPr>
          <w:rFonts w:asciiTheme="minorEastAsia" w:hAnsiTheme="minorEastAsia" w:eastAsiaTheme="minorEastAsia"/>
          <w:b/>
          <w:bCs/>
          <w:color w:val="000000" w:themeColor="text1"/>
          <w:sz w:val="24"/>
        </w:rPr>
      </w:pPr>
      <w:r>
        <w:rPr>
          <w:rFonts w:hint="eastAsia" w:asciiTheme="minorEastAsia" w:hAnsiTheme="minorEastAsia" w:eastAsiaTheme="minorEastAsia"/>
          <w:b/>
          <w:bCs/>
          <w:color w:val="000000" w:themeColor="text1"/>
          <w:sz w:val="24"/>
        </w:rPr>
        <w:t>十二、交易方式、竞价原则</w:t>
      </w:r>
    </w:p>
    <w:p w14:paraId="6D20D2E2">
      <w:pPr>
        <w:spacing w:line="520" w:lineRule="exact"/>
        <w:ind w:firstLine="480" w:firstLineChars="20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1.采用网络竞价，至报名截止日只有一个竞买人报名时，直接摘牌确认成交；若有2个以上（含2个）竞买人报名时，则通过竞价确认受让方。</w:t>
      </w:r>
    </w:p>
    <w:p w14:paraId="5A819FF9">
      <w:pPr>
        <w:spacing w:line="520" w:lineRule="exact"/>
        <w:ind w:firstLine="480" w:firstLineChars="20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2.在公开、公平、公正的前提下，以价高者得为原则。</w:t>
      </w:r>
    </w:p>
    <w:p w14:paraId="02FFC9E4">
      <w:pPr>
        <w:spacing w:line="520" w:lineRule="exact"/>
        <w:rPr>
          <w:rFonts w:asciiTheme="minorEastAsia" w:hAnsiTheme="minorEastAsia" w:eastAsiaTheme="minorEastAsia"/>
          <w:color w:val="000000" w:themeColor="text1"/>
          <w:sz w:val="24"/>
        </w:rPr>
      </w:pPr>
      <w:r>
        <w:rPr>
          <w:rFonts w:hint="eastAsia" w:asciiTheme="minorEastAsia" w:hAnsiTheme="minorEastAsia" w:eastAsiaTheme="minorEastAsia"/>
          <w:b/>
          <w:bCs/>
          <w:color w:val="000000" w:themeColor="text1"/>
          <w:sz w:val="24"/>
        </w:rPr>
        <w:t>十三、竞价程序</w:t>
      </w:r>
    </w:p>
    <w:p w14:paraId="3AD2F881">
      <w:pPr>
        <w:widowControl/>
        <w:shd w:val="clear" w:color="auto" w:fill="FFFFFF"/>
        <w:spacing w:line="520" w:lineRule="exact"/>
        <w:ind w:firstLine="465"/>
        <w:rPr>
          <w:rFonts w:cs="宋体" w:asciiTheme="minorEastAsia" w:hAnsiTheme="minorEastAsia" w:eastAsiaTheme="minorEastAsia"/>
          <w:color w:val="000000" w:themeColor="text1"/>
          <w:kern w:val="0"/>
          <w:sz w:val="24"/>
        </w:rPr>
      </w:pPr>
      <w:r>
        <w:rPr>
          <w:rFonts w:cs="宋体" w:asciiTheme="minorEastAsia" w:hAnsiTheme="minorEastAsia" w:eastAsiaTheme="minorEastAsia"/>
          <w:color w:val="000000" w:themeColor="text1"/>
          <w:kern w:val="0"/>
          <w:sz w:val="24"/>
        </w:rPr>
        <w:t>1.本次竞价采用权益云交易平台正向多次报价方式，按价高</w:t>
      </w:r>
      <w:r>
        <w:rPr>
          <w:rFonts w:hint="eastAsia" w:cs="宋体" w:asciiTheme="minorEastAsia" w:hAnsiTheme="minorEastAsia" w:eastAsiaTheme="minorEastAsia"/>
          <w:color w:val="000000" w:themeColor="text1"/>
          <w:kern w:val="0"/>
          <w:sz w:val="24"/>
        </w:rPr>
        <w:t>者</w:t>
      </w:r>
      <w:r>
        <w:rPr>
          <w:rFonts w:cs="宋体" w:asciiTheme="minorEastAsia" w:hAnsiTheme="minorEastAsia" w:eastAsiaTheme="minorEastAsia"/>
          <w:color w:val="000000" w:themeColor="text1"/>
          <w:kern w:val="0"/>
          <w:sz w:val="24"/>
        </w:rPr>
        <w:t>得确定</w:t>
      </w:r>
      <w:r>
        <w:rPr>
          <w:rFonts w:hint="eastAsia" w:cs="宋体" w:asciiTheme="minorEastAsia" w:hAnsiTheme="minorEastAsia" w:eastAsiaTheme="minorEastAsia"/>
          <w:color w:val="000000" w:themeColor="text1"/>
          <w:kern w:val="0"/>
          <w:sz w:val="24"/>
        </w:rPr>
        <w:t>受让方，同等条件下原股东享有优先受让权</w:t>
      </w:r>
      <w:r>
        <w:rPr>
          <w:rFonts w:cs="宋体" w:asciiTheme="minorEastAsia" w:hAnsiTheme="minorEastAsia" w:eastAsiaTheme="minorEastAsia"/>
          <w:color w:val="000000" w:themeColor="text1"/>
          <w:kern w:val="0"/>
          <w:sz w:val="24"/>
        </w:rPr>
        <w:t>，未达保留价不成交。竞买人申请竞价经本公司审核通过才能进入竞价大厅正式报价。</w:t>
      </w:r>
    </w:p>
    <w:p w14:paraId="6898A200">
      <w:pPr>
        <w:widowControl/>
        <w:shd w:val="clear" w:color="auto" w:fill="FFFFFF"/>
        <w:spacing w:line="520" w:lineRule="exact"/>
        <w:ind w:firstLine="480" w:firstLineChars="200"/>
        <w:rPr>
          <w:rFonts w:cs="宋体" w:asciiTheme="minorEastAsia" w:hAnsiTheme="minorEastAsia" w:eastAsiaTheme="minorEastAsia"/>
          <w:color w:val="000000" w:themeColor="text1"/>
          <w:kern w:val="0"/>
          <w:sz w:val="24"/>
        </w:rPr>
      </w:pPr>
      <w:r>
        <w:rPr>
          <w:rFonts w:asciiTheme="minorEastAsia" w:hAnsiTheme="minorEastAsia" w:eastAsiaTheme="minorEastAsia"/>
          <w:color w:val="000000" w:themeColor="text1"/>
          <w:kern w:val="0"/>
          <w:sz w:val="24"/>
        </w:rPr>
        <w:t>2.</w:t>
      </w:r>
      <w:r>
        <w:rPr>
          <w:rFonts w:cs="宋体" w:asciiTheme="minorEastAsia" w:hAnsiTheme="minorEastAsia" w:eastAsiaTheme="minorEastAsia"/>
          <w:color w:val="000000" w:themeColor="text1"/>
          <w:kern w:val="0"/>
          <w:sz w:val="24"/>
        </w:rPr>
        <w:t>网络报价过程包括自由报价阶段和限时报价阶段。</w:t>
      </w:r>
    </w:p>
    <w:p w14:paraId="64FC7C13">
      <w:pPr>
        <w:widowControl/>
        <w:shd w:val="clear" w:color="auto" w:fill="FFFFFF"/>
        <w:spacing w:line="520" w:lineRule="exact"/>
        <w:ind w:firstLine="240" w:firstLineChars="100"/>
        <w:rPr>
          <w:rFonts w:cs="宋体" w:asciiTheme="minorEastAsia" w:hAnsiTheme="minorEastAsia" w:eastAsiaTheme="minorEastAsia"/>
          <w:color w:val="000000" w:themeColor="text1"/>
          <w:kern w:val="0"/>
          <w:sz w:val="24"/>
        </w:rPr>
      </w:pPr>
      <w:r>
        <w:rPr>
          <w:rFonts w:hint="eastAsia" w:cs="宋体" w:asciiTheme="minorEastAsia" w:hAnsiTheme="minorEastAsia" w:eastAsiaTheme="minorEastAsia"/>
          <w:color w:val="000000" w:themeColor="text1"/>
          <w:kern w:val="0"/>
          <w:sz w:val="24"/>
        </w:rPr>
        <w:t>（1）自由报价阶段从竞价时间起至限时报价阶段开始前，在本阶段竞买人（含原股东）可以对竞价标的充分报价，报价只要不低于起始价或按设定加价幅度加价的，即为有效报价。</w:t>
      </w:r>
    </w:p>
    <w:p w14:paraId="2FC94FD0">
      <w:pPr>
        <w:widowControl/>
        <w:shd w:val="clear" w:color="auto" w:fill="FFFFFF"/>
        <w:spacing w:line="520" w:lineRule="exact"/>
        <w:ind w:firstLine="240" w:firstLineChars="100"/>
        <w:rPr>
          <w:rFonts w:cs="宋体" w:asciiTheme="minorEastAsia" w:hAnsiTheme="minorEastAsia" w:eastAsiaTheme="minorEastAsia"/>
          <w:color w:val="000000" w:themeColor="text1"/>
          <w:kern w:val="0"/>
          <w:sz w:val="24"/>
        </w:rPr>
      </w:pPr>
      <w:r>
        <w:rPr>
          <w:rFonts w:hint="eastAsia" w:cs="宋体" w:asciiTheme="minorEastAsia" w:hAnsiTheme="minorEastAsia" w:eastAsiaTheme="minorEastAsia"/>
          <w:color w:val="000000" w:themeColor="text1"/>
          <w:kern w:val="0"/>
          <w:sz w:val="24"/>
        </w:rPr>
        <w:t>（2）自由报价阶段结束即进入限时报价阶段。限时报价阶段可由多个限时报价周期组成，每个限时报价周期为120秒。在一个限时报价周期内如无人加价，且优先权人不行权的，当前的最高出价（大于或等于保留价）者即为该标的受让方，该标的竞价活动结束；如限时报价周期内有人加价，则以此报价时间为新的限时报价周期起点，往后等待新的报价，直至最后一个限时报价周期内没有新的有效报价，且优先权人不行权为止，当前最高有效报价（大于或等于保留价）的竞买人即成为该标的受让方，该标的竞价活动结束。</w:t>
      </w:r>
    </w:p>
    <w:p w14:paraId="3F6B3CED">
      <w:pPr>
        <w:widowControl/>
        <w:shd w:val="clear" w:color="auto" w:fill="FFFFFF"/>
        <w:spacing w:line="520" w:lineRule="exact"/>
        <w:rPr>
          <w:rFonts w:cs="宋体" w:asciiTheme="minorEastAsia" w:hAnsiTheme="minorEastAsia" w:eastAsiaTheme="minorEastAsia"/>
          <w:color w:val="000000" w:themeColor="text1"/>
          <w:kern w:val="0"/>
          <w:sz w:val="24"/>
        </w:rPr>
      </w:pPr>
      <w:r>
        <w:rPr>
          <w:rFonts w:cs="宋体" w:asciiTheme="minorEastAsia" w:hAnsiTheme="minorEastAsia" w:eastAsiaTheme="minorEastAsia"/>
          <w:color w:val="000000" w:themeColor="text1"/>
          <w:kern w:val="0"/>
          <w:sz w:val="24"/>
        </w:rPr>
        <w:t xml:space="preserve">  </w:t>
      </w:r>
      <w:r>
        <w:rPr>
          <w:rFonts w:hint="eastAsia" w:cs="宋体" w:asciiTheme="minorEastAsia" w:hAnsiTheme="minorEastAsia" w:eastAsiaTheme="minorEastAsia"/>
          <w:color w:val="000000" w:themeColor="text1"/>
          <w:kern w:val="0"/>
          <w:sz w:val="24"/>
        </w:rPr>
        <w:t xml:space="preserve"> </w:t>
      </w:r>
      <w:r>
        <w:rPr>
          <w:rFonts w:cs="宋体" w:asciiTheme="minorEastAsia" w:hAnsiTheme="minorEastAsia" w:eastAsiaTheme="minorEastAsia"/>
          <w:color w:val="000000" w:themeColor="text1"/>
          <w:kern w:val="0"/>
          <w:sz w:val="24"/>
        </w:rPr>
        <w:t>3.竞买人必须对</w:t>
      </w:r>
      <w:r>
        <w:rPr>
          <w:rFonts w:hint="eastAsia" w:cs="宋体" w:asciiTheme="minorEastAsia" w:hAnsiTheme="minorEastAsia" w:eastAsiaTheme="minorEastAsia"/>
          <w:color w:val="000000" w:themeColor="text1"/>
          <w:kern w:val="0"/>
          <w:sz w:val="24"/>
        </w:rPr>
        <w:t>标的情况及</w:t>
      </w:r>
      <w:r>
        <w:rPr>
          <w:rFonts w:cs="宋体" w:asciiTheme="minorEastAsia" w:hAnsiTheme="minorEastAsia" w:eastAsiaTheme="minorEastAsia"/>
          <w:color w:val="000000" w:themeColor="text1"/>
          <w:kern w:val="0"/>
          <w:sz w:val="24"/>
        </w:rPr>
        <w:t>竞价流程进行充分的咨询和了解，一旦参与竞价，视为无异议，并自行承担由此造成的一切责任。</w:t>
      </w:r>
    </w:p>
    <w:p w14:paraId="37927FF7">
      <w:pPr>
        <w:widowControl/>
        <w:shd w:val="clear" w:color="auto" w:fill="FFFFFF"/>
        <w:spacing w:line="520" w:lineRule="exact"/>
        <w:ind w:firstLine="480"/>
        <w:jc w:val="left"/>
        <w:rPr>
          <w:rFonts w:asciiTheme="minorEastAsia" w:hAnsiTheme="minorEastAsia" w:eastAsiaTheme="minorEastAsia"/>
          <w:color w:val="FF0000"/>
          <w:sz w:val="24"/>
        </w:rPr>
      </w:pPr>
      <w:r>
        <w:rPr>
          <w:rFonts w:cs="宋体" w:asciiTheme="minorEastAsia" w:hAnsiTheme="minorEastAsia" w:eastAsiaTheme="minorEastAsia"/>
          <w:b/>
          <w:bCs/>
          <w:color w:val="FF0000"/>
          <w:kern w:val="0"/>
          <w:sz w:val="24"/>
        </w:rPr>
        <w:t>4.因不可预见的原因导致上述竞价交易方式不能正常进行的，本公司有权中止交易或临时决定采用其它竞价方式和竞价交易规则，竞买人对此不得有异议。</w:t>
      </w:r>
    </w:p>
    <w:p w14:paraId="7B8C54E1">
      <w:pPr>
        <w:spacing w:line="520" w:lineRule="exact"/>
        <w:rPr>
          <w:rFonts w:asciiTheme="minorEastAsia" w:hAnsiTheme="minorEastAsia" w:eastAsiaTheme="minorEastAsia"/>
          <w:b/>
          <w:bCs/>
          <w:sz w:val="24"/>
        </w:rPr>
      </w:pPr>
      <w:r>
        <w:rPr>
          <w:rFonts w:hint="eastAsia" w:asciiTheme="minorEastAsia" w:hAnsiTheme="minorEastAsia" w:eastAsiaTheme="minorEastAsia"/>
          <w:b/>
          <w:bCs/>
          <w:sz w:val="24"/>
        </w:rPr>
        <w:t>十四、交易服务费</w:t>
      </w:r>
    </w:p>
    <w:p w14:paraId="41B77ACA">
      <w:pPr>
        <w:spacing w:line="600" w:lineRule="exact"/>
        <w:ind w:firstLine="480" w:firstLineChars="200"/>
        <w:rPr>
          <w:rFonts w:ascii="仿宋" w:hAnsi="仿宋" w:eastAsia="仿宋" w:cs="仿宋"/>
        </w:rPr>
      </w:pPr>
      <w:r>
        <w:rPr>
          <w:rFonts w:hint="eastAsia" w:cs="宋体" w:asciiTheme="minorEastAsia" w:hAnsiTheme="minorEastAsia" w:eastAsiaTheme="minorEastAsia"/>
          <w:color w:val="000000" w:themeColor="text1"/>
          <w:kern w:val="0"/>
          <w:sz w:val="24"/>
        </w:rPr>
        <w:t>受让方根据标的成交价款按以下收费标准向本公司支付交易服务费（包含产权交易佣金及交易鉴证费），交易服务费必须在成交之日起3个工作日内付清，具体收费标准如下：</w:t>
      </w:r>
    </w:p>
    <w:tbl>
      <w:tblPr>
        <w:tblStyle w:val="12"/>
        <w:tblW w:w="4937"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3311"/>
        <w:gridCol w:w="2279"/>
        <w:gridCol w:w="1974"/>
      </w:tblGrid>
      <w:tr w14:paraId="0D15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restart"/>
            <w:tcBorders>
              <w:tl2br w:val="nil"/>
              <w:tr2bl w:val="nil"/>
            </w:tcBorders>
            <w:shd w:val="clear" w:color="auto" w:fill="FFFFFF"/>
            <w:vAlign w:val="center"/>
          </w:tcPr>
          <w:p w14:paraId="1DD239D6">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产权交易佣金</w:t>
            </w:r>
          </w:p>
        </w:tc>
        <w:tc>
          <w:tcPr>
            <w:tcW w:w="1965" w:type="pct"/>
            <w:tcBorders>
              <w:tl2br w:val="nil"/>
              <w:tr2bl w:val="nil"/>
            </w:tcBorders>
            <w:shd w:val="clear" w:color="auto" w:fill="FFFFFF"/>
            <w:vAlign w:val="center"/>
          </w:tcPr>
          <w:p w14:paraId="59129F92">
            <w:pPr>
              <w:widowControl/>
              <w:jc w:val="center"/>
              <w:textAlignment w:val="top"/>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按产权交易总额分档收取</w:t>
            </w:r>
          </w:p>
        </w:tc>
        <w:tc>
          <w:tcPr>
            <w:tcW w:w="1352" w:type="pct"/>
            <w:tcBorders>
              <w:tl2br w:val="nil"/>
              <w:tr2bl w:val="nil"/>
            </w:tcBorders>
            <w:shd w:val="clear" w:color="auto" w:fill="FFFFFF"/>
            <w:vAlign w:val="center"/>
          </w:tcPr>
          <w:p w14:paraId="2F300706">
            <w:pPr>
              <w:widowControl/>
              <w:jc w:val="center"/>
              <w:textAlignment w:val="top"/>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分档费率</w:t>
            </w:r>
          </w:p>
        </w:tc>
        <w:tc>
          <w:tcPr>
            <w:tcW w:w="1172" w:type="pct"/>
            <w:vMerge w:val="restart"/>
            <w:tcBorders>
              <w:tl2br w:val="nil"/>
              <w:tr2bl w:val="nil"/>
            </w:tcBorders>
            <w:shd w:val="clear" w:color="auto" w:fill="FFFFFF"/>
            <w:vAlign w:val="center"/>
          </w:tcPr>
          <w:p w14:paraId="452CFC21">
            <w:pPr>
              <w:widowControl/>
              <w:jc w:val="center"/>
              <w:textAlignment w:val="top"/>
              <w:rPr>
                <w:rFonts w:ascii="仿宋_GB2312" w:hAnsi="仿宋_GB2312" w:eastAsia="仿宋_GB2312" w:cs="仿宋_GB2312"/>
                <w:b/>
                <w:bCs/>
                <w:color w:val="000000"/>
                <w:kern w:val="0"/>
                <w:sz w:val="24"/>
              </w:rPr>
            </w:pPr>
            <w:r>
              <w:rPr>
                <w:rFonts w:hint="eastAsia" w:ascii="仿宋_GB2312" w:hAnsi="仿宋_GB2312" w:eastAsia="仿宋_GB2312" w:cs="仿宋_GB2312"/>
                <w:color w:val="000000"/>
                <w:kern w:val="0"/>
                <w:sz w:val="24"/>
              </w:rPr>
              <w:t>交易服务费含产权交易佣金及交易鉴证费。</w:t>
            </w:r>
          </w:p>
        </w:tc>
      </w:tr>
      <w:tr w14:paraId="772B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1EF6774B">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001D3ECF">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100</w:t>
            </w:r>
            <w:r>
              <w:rPr>
                <w:rFonts w:hint="eastAsia" w:ascii="仿宋_GB2312" w:hAnsi="仿宋_GB2312" w:eastAsia="仿宋_GB2312" w:cs="仿宋_GB2312"/>
                <w:color w:val="000000"/>
                <w:kern w:val="0"/>
                <w:sz w:val="24"/>
              </w:rPr>
              <w:t>万元（含）以下</w:t>
            </w:r>
          </w:p>
        </w:tc>
        <w:tc>
          <w:tcPr>
            <w:tcW w:w="1352" w:type="pct"/>
            <w:tcBorders>
              <w:tl2br w:val="nil"/>
              <w:tr2bl w:val="nil"/>
            </w:tcBorders>
            <w:shd w:val="clear" w:color="auto" w:fill="FFFFFF"/>
            <w:vAlign w:val="center"/>
          </w:tcPr>
          <w:p w14:paraId="293332BB">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2</w:t>
            </w:r>
            <w:r>
              <w:rPr>
                <w:rFonts w:hint="eastAsia" w:ascii="仿宋_GB2312" w:hAnsi="仿宋_GB2312" w:eastAsia="仿宋_GB2312" w:cs="仿宋_GB2312"/>
                <w:color w:val="000000"/>
                <w:kern w:val="0"/>
                <w:sz w:val="24"/>
              </w:rPr>
              <w:t>.</w:t>
            </w:r>
            <w:r>
              <w:rPr>
                <w:rFonts w:hint="eastAsia" w:eastAsia="仿宋_GB2312" w:cs="仿宋_GB2312"/>
                <w:color w:val="000000"/>
                <w:kern w:val="0"/>
                <w:sz w:val="24"/>
              </w:rPr>
              <w:t>50</w:t>
            </w:r>
            <w:r>
              <w:rPr>
                <w:rFonts w:hint="eastAsia" w:ascii="仿宋_GB2312" w:hAnsi="仿宋_GB2312" w:eastAsia="仿宋_GB2312" w:cs="仿宋_GB2312"/>
                <w:color w:val="000000"/>
                <w:kern w:val="0"/>
                <w:sz w:val="24"/>
              </w:rPr>
              <w:t>%</w:t>
            </w:r>
          </w:p>
        </w:tc>
        <w:tc>
          <w:tcPr>
            <w:tcW w:w="1172" w:type="pct"/>
            <w:vMerge w:val="continue"/>
            <w:tcBorders>
              <w:tl2br w:val="nil"/>
              <w:tr2bl w:val="nil"/>
            </w:tcBorders>
            <w:shd w:val="clear" w:color="auto" w:fill="FFFFFF"/>
            <w:vAlign w:val="center"/>
          </w:tcPr>
          <w:p w14:paraId="31692014">
            <w:pPr>
              <w:widowControl/>
              <w:jc w:val="center"/>
              <w:textAlignment w:val="top"/>
              <w:rPr>
                <w:rFonts w:eastAsia="仿宋_GB2312" w:cs="仿宋_GB2312"/>
                <w:color w:val="000000"/>
                <w:kern w:val="0"/>
                <w:sz w:val="24"/>
              </w:rPr>
            </w:pPr>
          </w:p>
        </w:tc>
      </w:tr>
      <w:tr w14:paraId="0D72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08F147CC">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131C1C8C">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100</w:t>
            </w:r>
            <w:r>
              <w:rPr>
                <w:rFonts w:hint="eastAsia" w:ascii="仿宋_GB2312" w:hAnsi="仿宋_GB2312" w:eastAsia="仿宋_GB2312" w:cs="仿宋_GB2312"/>
                <w:color w:val="000000"/>
                <w:kern w:val="0"/>
                <w:sz w:val="24"/>
              </w:rPr>
              <w:t>万元至</w:t>
            </w:r>
            <w:r>
              <w:rPr>
                <w:rFonts w:hint="eastAsia" w:eastAsia="仿宋_GB2312" w:cs="仿宋_GB2312"/>
                <w:color w:val="000000"/>
                <w:kern w:val="0"/>
                <w:sz w:val="24"/>
              </w:rPr>
              <w:t>200</w:t>
            </w:r>
            <w:r>
              <w:rPr>
                <w:rFonts w:hint="eastAsia" w:ascii="仿宋_GB2312" w:hAnsi="仿宋_GB2312" w:eastAsia="仿宋_GB2312" w:cs="仿宋_GB2312"/>
                <w:color w:val="000000"/>
                <w:kern w:val="0"/>
                <w:sz w:val="24"/>
              </w:rPr>
              <w:t>万元（含）</w:t>
            </w:r>
          </w:p>
        </w:tc>
        <w:tc>
          <w:tcPr>
            <w:tcW w:w="1352" w:type="pct"/>
            <w:tcBorders>
              <w:tl2br w:val="nil"/>
              <w:tr2bl w:val="nil"/>
            </w:tcBorders>
            <w:shd w:val="clear" w:color="auto" w:fill="FFFFFF"/>
            <w:vAlign w:val="center"/>
          </w:tcPr>
          <w:p w14:paraId="4BFE5649">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2</w:t>
            </w:r>
            <w:r>
              <w:rPr>
                <w:rFonts w:hint="eastAsia" w:ascii="仿宋_GB2312" w:hAnsi="仿宋_GB2312" w:eastAsia="仿宋_GB2312" w:cs="仿宋_GB2312"/>
                <w:color w:val="000000"/>
                <w:kern w:val="0"/>
                <w:sz w:val="24"/>
              </w:rPr>
              <w:t>.</w:t>
            </w:r>
            <w:r>
              <w:rPr>
                <w:rFonts w:hint="eastAsia" w:eastAsia="仿宋_GB2312" w:cs="仿宋_GB2312"/>
                <w:color w:val="000000"/>
                <w:kern w:val="0"/>
                <w:sz w:val="24"/>
              </w:rPr>
              <w:t>00</w:t>
            </w:r>
            <w:r>
              <w:rPr>
                <w:rFonts w:hint="eastAsia" w:ascii="仿宋_GB2312" w:hAnsi="仿宋_GB2312" w:eastAsia="仿宋_GB2312" w:cs="仿宋_GB2312"/>
                <w:color w:val="000000"/>
                <w:kern w:val="0"/>
                <w:sz w:val="24"/>
              </w:rPr>
              <w:t>%</w:t>
            </w:r>
          </w:p>
        </w:tc>
        <w:tc>
          <w:tcPr>
            <w:tcW w:w="1172" w:type="pct"/>
            <w:vMerge w:val="continue"/>
            <w:tcBorders>
              <w:tl2br w:val="nil"/>
              <w:tr2bl w:val="nil"/>
            </w:tcBorders>
            <w:shd w:val="clear" w:color="auto" w:fill="FFFFFF"/>
            <w:vAlign w:val="center"/>
          </w:tcPr>
          <w:p w14:paraId="6B583E55">
            <w:pPr>
              <w:widowControl/>
              <w:jc w:val="center"/>
              <w:textAlignment w:val="top"/>
              <w:rPr>
                <w:rFonts w:eastAsia="仿宋_GB2312" w:cs="仿宋_GB2312"/>
                <w:color w:val="000000"/>
                <w:kern w:val="0"/>
                <w:sz w:val="24"/>
              </w:rPr>
            </w:pPr>
          </w:p>
        </w:tc>
      </w:tr>
      <w:tr w14:paraId="53A6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3DA1F6F8">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19E52F05">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200</w:t>
            </w:r>
            <w:r>
              <w:rPr>
                <w:rFonts w:hint="eastAsia" w:ascii="仿宋_GB2312" w:hAnsi="仿宋_GB2312" w:eastAsia="仿宋_GB2312" w:cs="仿宋_GB2312"/>
                <w:color w:val="000000"/>
                <w:kern w:val="0"/>
                <w:sz w:val="24"/>
              </w:rPr>
              <w:t>万元至</w:t>
            </w:r>
            <w:r>
              <w:rPr>
                <w:rFonts w:hint="eastAsia" w:eastAsia="仿宋_GB2312" w:cs="仿宋_GB2312"/>
                <w:color w:val="000000"/>
                <w:kern w:val="0"/>
                <w:sz w:val="24"/>
              </w:rPr>
              <w:t>500</w:t>
            </w:r>
            <w:r>
              <w:rPr>
                <w:rFonts w:hint="eastAsia" w:ascii="仿宋_GB2312" w:hAnsi="仿宋_GB2312" w:eastAsia="仿宋_GB2312" w:cs="仿宋_GB2312"/>
                <w:color w:val="000000"/>
                <w:kern w:val="0"/>
                <w:sz w:val="24"/>
              </w:rPr>
              <w:t>万元（含）</w:t>
            </w:r>
          </w:p>
        </w:tc>
        <w:tc>
          <w:tcPr>
            <w:tcW w:w="1352" w:type="pct"/>
            <w:tcBorders>
              <w:tl2br w:val="nil"/>
              <w:tr2bl w:val="nil"/>
            </w:tcBorders>
            <w:shd w:val="clear" w:color="auto" w:fill="FFFFFF"/>
            <w:vAlign w:val="center"/>
          </w:tcPr>
          <w:p w14:paraId="153C333E">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1</w:t>
            </w:r>
            <w:r>
              <w:rPr>
                <w:rFonts w:hint="eastAsia" w:ascii="仿宋_GB2312" w:hAnsi="仿宋_GB2312" w:eastAsia="仿宋_GB2312" w:cs="仿宋_GB2312"/>
                <w:color w:val="000000"/>
                <w:kern w:val="0"/>
                <w:sz w:val="24"/>
              </w:rPr>
              <w:t>.</w:t>
            </w:r>
            <w:r>
              <w:rPr>
                <w:rFonts w:hint="eastAsia" w:eastAsia="仿宋_GB2312" w:cs="仿宋_GB2312"/>
                <w:color w:val="000000"/>
                <w:kern w:val="0"/>
                <w:sz w:val="24"/>
              </w:rPr>
              <w:t>50</w:t>
            </w:r>
            <w:r>
              <w:rPr>
                <w:rFonts w:hint="eastAsia" w:ascii="仿宋_GB2312" w:hAnsi="仿宋_GB2312" w:eastAsia="仿宋_GB2312" w:cs="仿宋_GB2312"/>
                <w:color w:val="000000"/>
                <w:kern w:val="0"/>
                <w:sz w:val="24"/>
              </w:rPr>
              <w:t>%</w:t>
            </w:r>
          </w:p>
        </w:tc>
        <w:tc>
          <w:tcPr>
            <w:tcW w:w="1172" w:type="pct"/>
            <w:vMerge w:val="continue"/>
            <w:tcBorders>
              <w:tl2br w:val="nil"/>
              <w:tr2bl w:val="nil"/>
            </w:tcBorders>
            <w:shd w:val="clear" w:color="auto" w:fill="FFFFFF"/>
            <w:vAlign w:val="center"/>
          </w:tcPr>
          <w:p w14:paraId="54E2C59B">
            <w:pPr>
              <w:widowControl/>
              <w:jc w:val="center"/>
              <w:textAlignment w:val="top"/>
              <w:rPr>
                <w:rFonts w:eastAsia="仿宋_GB2312" w:cs="仿宋_GB2312"/>
                <w:color w:val="000000"/>
                <w:kern w:val="0"/>
                <w:sz w:val="24"/>
              </w:rPr>
            </w:pPr>
          </w:p>
        </w:tc>
      </w:tr>
      <w:tr w14:paraId="5B31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6E31DE7A">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04CF57AB">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500</w:t>
            </w:r>
            <w:r>
              <w:rPr>
                <w:rFonts w:hint="eastAsia" w:ascii="仿宋_GB2312" w:hAnsi="仿宋_GB2312" w:eastAsia="仿宋_GB2312" w:cs="仿宋_GB2312"/>
                <w:color w:val="000000"/>
                <w:kern w:val="0"/>
                <w:sz w:val="24"/>
              </w:rPr>
              <w:t>万元至</w:t>
            </w:r>
            <w:r>
              <w:rPr>
                <w:rFonts w:hint="eastAsia" w:eastAsia="仿宋_GB2312" w:cs="仿宋_GB2312"/>
                <w:color w:val="000000"/>
                <w:kern w:val="0"/>
                <w:sz w:val="24"/>
              </w:rPr>
              <w:t>1000</w:t>
            </w:r>
            <w:r>
              <w:rPr>
                <w:rFonts w:hint="eastAsia" w:ascii="仿宋_GB2312" w:hAnsi="仿宋_GB2312" w:eastAsia="仿宋_GB2312" w:cs="仿宋_GB2312"/>
                <w:color w:val="000000"/>
                <w:kern w:val="0"/>
                <w:sz w:val="24"/>
              </w:rPr>
              <w:t>万元（含）</w:t>
            </w:r>
          </w:p>
        </w:tc>
        <w:tc>
          <w:tcPr>
            <w:tcW w:w="1352" w:type="pct"/>
            <w:tcBorders>
              <w:tl2br w:val="nil"/>
              <w:tr2bl w:val="nil"/>
            </w:tcBorders>
            <w:shd w:val="clear" w:color="auto" w:fill="FFFFFF"/>
            <w:vAlign w:val="center"/>
          </w:tcPr>
          <w:p w14:paraId="76A3FBCE">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1</w:t>
            </w:r>
            <w:r>
              <w:rPr>
                <w:rFonts w:hint="eastAsia" w:ascii="仿宋_GB2312" w:hAnsi="仿宋_GB2312" w:eastAsia="仿宋_GB2312" w:cs="仿宋_GB2312"/>
                <w:color w:val="000000"/>
                <w:kern w:val="0"/>
                <w:sz w:val="24"/>
              </w:rPr>
              <w:t>.</w:t>
            </w:r>
            <w:r>
              <w:rPr>
                <w:rFonts w:hint="eastAsia" w:eastAsia="仿宋_GB2312" w:cs="仿宋_GB2312"/>
                <w:color w:val="000000"/>
                <w:kern w:val="0"/>
                <w:sz w:val="24"/>
              </w:rPr>
              <w:t>00</w:t>
            </w:r>
            <w:r>
              <w:rPr>
                <w:rFonts w:hint="eastAsia" w:ascii="仿宋_GB2312" w:hAnsi="仿宋_GB2312" w:eastAsia="仿宋_GB2312" w:cs="仿宋_GB2312"/>
                <w:color w:val="000000"/>
                <w:kern w:val="0"/>
                <w:sz w:val="24"/>
              </w:rPr>
              <w:t>%</w:t>
            </w:r>
          </w:p>
        </w:tc>
        <w:tc>
          <w:tcPr>
            <w:tcW w:w="1172" w:type="pct"/>
            <w:vMerge w:val="continue"/>
            <w:tcBorders>
              <w:tl2br w:val="nil"/>
              <w:tr2bl w:val="nil"/>
            </w:tcBorders>
            <w:shd w:val="clear" w:color="auto" w:fill="FFFFFF"/>
            <w:vAlign w:val="center"/>
          </w:tcPr>
          <w:p w14:paraId="31795AA5">
            <w:pPr>
              <w:widowControl/>
              <w:jc w:val="center"/>
              <w:textAlignment w:val="top"/>
              <w:rPr>
                <w:rFonts w:eastAsia="仿宋_GB2312" w:cs="仿宋_GB2312"/>
                <w:color w:val="000000"/>
                <w:kern w:val="0"/>
                <w:sz w:val="24"/>
              </w:rPr>
            </w:pPr>
          </w:p>
        </w:tc>
      </w:tr>
      <w:tr w14:paraId="4606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1EA881BA">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22813F2D">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1000</w:t>
            </w:r>
            <w:r>
              <w:rPr>
                <w:rFonts w:hint="eastAsia" w:ascii="仿宋_GB2312" w:hAnsi="仿宋_GB2312" w:eastAsia="仿宋_GB2312" w:cs="仿宋_GB2312"/>
                <w:color w:val="000000"/>
                <w:kern w:val="0"/>
                <w:sz w:val="24"/>
              </w:rPr>
              <w:t>万元至</w:t>
            </w:r>
            <w:r>
              <w:rPr>
                <w:rFonts w:hint="eastAsia" w:eastAsia="仿宋_GB2312" w:cs="仿宋_GB2312"/>
                <w:color w:val="000000"/>
                <w:kern w:val="0"/>
                <w:sz w:val="24"/>
              </w:rPr>
              <w:t>3000</w:t>
            </w:r>
            <w:r>
              <w:rPr>
                <w:rFonts w:hint="eastAsia" w:ascii="仿宋_GB2312" w:hAnsi="仿宋_GB2312" w:eastAsia="仿宋_GB2312" w:cs="仿宋_GB2312"/>
                <w:color w:val="000000"/>
                <w:kern w:val="0"/>
                <w:sz w:val="24"/>
              </w:rPr>
              <w:t>万元（含）</w:t>
            </w:r>
          </w:p>
        </w:tc>
        <w:tc>
          <w:tcPr>
            <w:tcW w:w="1352" w:type="pct"/>
            <w:tcBorders>
              <w:tl2br w:val="nil"/>
              <w:tr2bl w:val="nil"/>
            </w:tcBorders>
            <w:shd w:val="clear" w:color="auto" w:fill="FFFFFF"/>
            <w:vAlign w:val="center"/>
          </w:tcPr>
          <w:p w14:paraId="6C522FD7">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0</w:t>
            </w:r>
            <w:r>
              <w:rPr>
                <w:rFonts w:hint="eastAsia" w:ascii="仿宋_GB2312" w:hAnsi="仿宋_GB2312" w:eastAsia="仿宋_GB2312" w:cs="仿宋_GB2312"/>
                <w:color w:val="000000"/>
                <w:kern w:val="0"/>
                <w:sz w:val="24"/>
              </w:rPr>
              <w:t>.</w:t>
            </w:r>
            <w:r>
              <w:rPr>
                <w:rFonts w:hint="eastAsia" w:eastAsia="仿宋_GB2312" w:cs="仿宋_GB2312"/>
                <w:color w:val="000000"/>
                <w:kern w:val="0"/>
                <w:sz w:val="24"/>
              </w:rPr>
              <w:t>60</w:t>
            </w:r>
            <w:r>
              <w:rPr>
                <w:rFonts w:hint="eastAsia" w:ascii="仿宋_GB2312" w:hAnsi="仿宋_GB2312" w:eastAsia="仿宋_GB2312" w:cs="仿宋_GB2312"/>
                <w:color w:val="000000"/>
                <w:kern w:val="0"/>
                <w:sz w:val="24"/>
              </w:rPr>
              <w:t>%</w:t>
            </w:r>
          </w:p>
        </w:tc>
        <w:tc>
          <w:tcPr>
            <w:tcW w:w="1172" w:type="pct"/>
            <w:vMerge w:val="continue"/>
            <w:tcBorders>
              <w:tl2br w:val="nil"/>
              <w:tr2bl w:val="nil"/>
            </w:tcBorders>
            <w:shd w:val="clear" w:color="auto" w:fill="FFFFFF"/>
            <w:vAlign w:val="center"/>
          </w:tcPr>
          <w:p w14:paraId="05A8C65B">
            <w:pPr>
              <w:widowControl/>
              <w:jc w:val="center"/>
              <w:textAlignment w:val="top"/>
              <w:rPr>
                <w:rFonts w:eastAsia="仿宋_GB2312" w:cs="仿宋_GB2312"/>
                <w:color w:val="000000"/>
                <w:kern w:val="0"/>
                <w:sz w:val="24"/>
              </w:rPr>
            </w:pPr>
          </w:p>
        </w:tc>
      </w:tr>
      <w:tr w14:paraId="5EF3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691FCC03">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5153FFCE">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3000</w:t>
            </w:r>
            <w:r>
              <w:rPr>
                <w:rFonts w:hint="eastAsia" w:ascii="仿宋_GB2312" w:hAnsi="仿宋_GB2312" w:eastAsia="仿宋_GB2312" w:cs="仿宋_GB2312"/>
                <w:color w:val="000000"/>
                <w:kern w:val="0"/>
                <w:sz w:val="24"/>
              </w:rPr>
              <w:t>万元以上</w:t>
            </w:r>
          </w:p>
        </w:tc>
        <w:tc>
          <w:tcPr>
            <w:tcW w:w="1352" w:type="pct"/>
            <w:tcBorders>
              <w:tl2br w:val="nil"/>
              <w:tr2bl w:val="nil"/>
            </w:tcBorders>
            <w:shd w:val="clear" w:color="auto" w:fill="FFFFFF"/>
            <w:vAlign w:val="center"/>
          </w:tcPr>
          <w:p w14:paraId="26E6AEE3">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0</w:t>
            </w:r>
            <w:r>
              <w:rPr>
                <w:rFonts w:hint="eastAsia" w:ascii="仿宋_GB2312" w:hAnsi="仿宋_GB2312" w:eastAsia="仿宋_GB2312" w:cs="仿宋_GB2312"/>
                <w:color w:val="000000"/>
                <w:kern w:val="0"/>
                <w:sz w:val="24"/>
              </w:rPr>
              <w:t>.</w:t>
            </w:r>
            <w:r>
              <w:rPr>
                <w:rFonts w:hint="eastAsia" w:eastAsia="仿宋_GB2312" w:cs="仿宋_GB2312"/>
                <w:color w:val="000000"/>
                <w:kern w:val="0"/>
                <w:sz w:val="24"/>
              </w:rPr>
              <w:t>30</w:t>
            </w:r>
            <w:r>
              <w:rPr>
                <w:rFonts w:hint="eastAsia" w:ascii="仿宋_GB2312" w:hAnsi="仿宋_GB2312" w:eastAsia="仿宋_GB2312" w:cs="仿宋_GB2312"/>
                <w:color w:val="000000"/>
                <w:kern w:val="0"/>
                <w:sz w:val="24"/>
              </w:rPr>
              <w:t>%</w:t>
            </w:r>
          </w:p>
        </w:tc>
        <w:tc>
          <w:tcPr>
            <w:tcW w:w="1172" w:type="pct"/>
            <w:vMerge w:val="continue"/>
            <w:tcBorders>
              <w:tl2br w:val="nil"/>
              <w:tr2bl w:val="nil"/>
            </w:tcBorders>
            <w:shd w:val="clear" w:color="auto" w:fill="FFFFFF"/>
            <w:vAlign w:val="center"/>
          </w:tcPr>
          <w:p w14:paraId="60645044">
            <w:pPr>
              <w:widowControl/>
              <w:jc w:val="center"/>
              <w:textAlignment w:val="top"/>
              <w:rPr>
                <w:rFonts w:eastAsia="仿宋_GB2312" w:cs="仿宋_GB2312"/>
                <w:color w:val="000000"/>
                <w:kern w:val="0"/>
                <w:sz w:val="24"/>
              </w:rPr>
            </w:pPr>
          </w:p>
        </w:tc>
      </w:tr>
      <w:tr w14:paraId="1C81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right"/>
        </w:trPr>
        <w:tc>
          <w:tcPr>
            <w:tcW w:w="509" w:type="pct"/>
            <w:vMerge w:val="restart"/>
            <w:tcBorders>
              <w:tl2br w:val="nil"/>
              <w:tr2bl w:val="nil"/>
            </w:tcBorders>
            <w:shd w:val="clear" w:color="auto" w:fill="FFFFFF"/>
            <w:vAlign w:val="center"/>
          </w:tcPr>
          <w:p w14:paraId="3F1124BB">
            <w:pPr>
              <w:widowControl/>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交易鉴证费</w:t>
            </w:r>
          </w:p>
        </w:tc>
        <w:tc>
          <w:tcPr>
            <w:tcW w:w="1965" w:type="pct"/>
            <w:tcBorders>
              <w:tl2br w:val="nil"/>
              <w:tr2bl w:val="nil"/>
            </w:tcBorders>
            <w:shd w:val="clear" w:color="auto" w:fill="FFFFFF"/>
            <w:vAlign w:val="center"/>
          </w:tcPr>
          <w:p w14:paraId="102F1AD5">
            <w:pPr>
              <w:widowControl/>
              <w:jc w:val="center"/>
              <w:textAlignment w:val="top"/>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按产权交易总额分档收取</w:t>
            </w:r>
          </w:p>
        </w:tc>
        <w:tc>
          <w:tcPr>
            <w:tcW w:w="1352" w:type="pct"/>
            <w:tcBorders>
              <w:tl2br w:val="nil"/>
              <w:tr2bl w:val="nil"/>
            </w:tcBorders>
            <w:shd w:val="clear" w:color="auto" w:fill="FFFFFF"/>
            <w:vAlign w:val="center"/>
          </w:tcPr>
          <w:p w14:paraId="0D886690">
            <w:pPr>
              <w:widowControl/>
              <w:jc w:val="center"/>
              <w:textAlignment w:val="top"/>
              <w:rPr>
                <w:rFonts w:ascii="仿宋_GB2312" w:hAnsi="仿宋_GB2312" w:eastAsia="仿宋_GB2312" w:cs="仿宋_GB2312"/>
                <w:b/>
                <w:bCs/>
                <w:color w:val="000000"/>
                <w:sz w:val="24"/>
              </w:rPr>
            </w:pPr>
            <w:r>
              <w:rPr>
                <w:rFonts w:hint="eastAsia" w:ascii="仿宋_GB2312" w:hAnsi="仿宋_GB2312" w:eastAsia="仿宋_GB2312" w:cs="仿宋_GB2312"/>
                <w:b/>
                <w:bCs/>
                <w:color w:val="000000"/>
                <w:kern w:val="0"/>
                <w:sz w:val="24"/>
              </w:rPr>
              <w:t>分档费率</w:t>
            </w:r>
          </w:p>
        </w:tc>
        <w:tc>
          <w:tcPr>
            <w:tcW w:w="1172" w:type="pct"/>
            <w:vMerge w:val="continue"/>
            <w:tcBorders>
              <w:tl2br w:val="nil"/>
              <w:tr2bl w:val="nil"/>
            </w:tcBorders>
            <w:shd w:val="clear" w:color="auto" w:fill="FFFFFF"/>
            <w:vAlign w:val="center"/>
          </w:tcPr>
          <w:p w14:paraId="00C76FA3">
            <w:pPr>
              <w:widowControl/>
              <w:jc w:val="center"/>
              <w:textAlignment w:val="top"/>
              <w:rPr>
                <w:rFonts w:ascii="仿宋_GB2312" w:hAnsi="仿宋_GB2312" w:eastAsia="仿宋_GB2312" w:cs="仿宋_GB2312"/>
                <w:b/>
                <w:bCs/>
                <w:color w:val="000000"/>
                <w:kern w:val="0"/>
                <w:sz w:val="24"/>
              </w:rPr>
            </w:pPr>
          </w:p>
        </w:tc>
      </w:tr>
      <w:tr w14:paraId="60A6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09596AAA">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5AFED107">
            <w:pPr>
              <w:widowControl/>
              <w:jc w:val="center"/>
              <w:textAlignment w:val="top"/>
              <w:rPr>
                <w:rFonts w:ascii="仿宋_GB2312" w:hAnsi="仿宋_GB2312" w:eastAsia="仿宋_GB2312" w:cs="仿宋_GB2312"/>
                <w:color w:val="000000"/>
                <w:kern w:val="0"/>
                <w:sz w:val="24"/>
              </w:rPr>
            </w:pPr>
            <w:r>
              <w:rPr>
                <w:rFonts w:hint="eastAsia" w:eastAsia="仿宋_GB2312" w:cs="仿宋_GB2312"/>
                <w:color w:val="000000"/>
                <w:kern w:val="0"/>
                <w:sz w:val="24"/>
              </w:rPr>
              <w:t>3</w:t>
            </w:r>
            <w:r>
              <w:rPr>
                <w:rFonts w:hint="eastAsia" w:ascii="仿宋_GB2312" w:hAnsi="仿宋_GB2312" w:eastAsia="仿宋_GB2312" w:cs="仿宋_GB2312"/>
                <w:color w:val="000000"/>
                <w:kern w:val="0"/>
                <w:sz w:val="24"/>
              </w:rPr>
              <w:t>万元（含）以下</w:t>
            </w:r>
          </w:p>
        </w:tc>
        <w:tc>
          <w:tcPr>
            <w:tcW w:w="1352" w:type="pct"/>
            <w:tcBorders>
              <w:tl2br w:val="nil"/>
              <w:tr2bl w:val="nil"/>
            </w:tcBorders>
            <w:shd w:val="clear" w:color="auto" w:fill="FFFFFF"/>
            <w:vAlign w:val="center"/>
          </w:tcPr>
          <w:p w14:paraId="25810A79">
            <w:pPr>
              <w:widowControl/>
              <w:jc w:val="center"/>
              <w:textAlignment w:val="top"/>
              <w:rPr>
                <w:rFonts w:ascii="仿宋_GB2312" w:hAnsi="仿宋_GB2312" w:eastAsia="仿宋_GB2312" w:cs="仿宋_GB2312"/>
                <w:color w:val="000000"/>
                <w:kern w:val="0"/>
                <w:sz w:val="24"/>
              </w:rPr>
            </w:pPr>
            <w:r>
              <w:rPr>
                <w:rFonts w:hint="eastAsia" w:eastAsia="仿宋_GB2312" w:cs="仿宋_GB2312"/>
                <w:color w:val="000000"/>
                <w:kern w:val="0"/>
                <w:sz w:val="24"/>
              </w:rPr>
              <w:t>600</w:t>
            </w:r>
            <w:r>
              <w:rPr>
                <w:rFonts w:hint="eastAsia" w:ascii="仿宋_GB2312" w:hAnsi="仿宋_GB2312" w:eastAsia="仿宋_GB2312" w:cs="仿宋_GB2312"/>
                <w:color w:val="000000"/>
                <w:kern w:val="0"/>
                <w:sz w:val="24"/>
              </w:rPr>
              <w:t>元</w:t>
            </w:r>
          </w:p>
        </w:tc>
        <w:tc>
          <w:tcPr>
            <w:tcW w:w="1172" w:type="pct"/>
            <w:vMerge w:val="continue"/>
            <w:tcBorders>
              <w:tl2br w:val="nil"/>
              <w:tr2bl w:val="nil"/>
            </w:tcBorders>
            <w:shd w:val="clear" w:color="auto" w:fill="FFFFFF"/>
            <w:vAlign w:val="center"/>
          </w:tcPr>
          <w:p w14:paraId="50845F8B">
            <w:pPr>
              <w:widowControl/>
              <w:jc w:val="center"/>
              <w:textAlignment w:val="top"/>
              <w:rPr>
                <w:rFonts w:eastAsia="仿宋_GB2312" w:cs="仿宋_GB2312"/>
                <w:color w:val="000000"/>
                <w:kern w:val="0"/>
                <w:sz w:val="24"/>
              </w:rPr>
            </w:pPr>
          </w:p>
        </w:tc>
      </w:tr>
      <w:tr w14:paraId="6F54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76C06D57">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61D239D1">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3</w:t>
            </w:r>
            <w:r>
              <w:rPr>
                <w:rFonts w:hint="eastAsia" w:ascii="仿宋_GB2312" w:hAnsi="仿宋_GB2312" w:eastAsia="仿宋_GB2312" w:cs="仿宋_GB2312"/>
                <w:color w:val="000000"/>
                <w:kern w:val="0"/>
                <w:sz w:val="24"/>
              </w:rPr>
              <w:t>万元至</w:t>
            </w:r>
            <w:r>
              <w:rPr>
                <w:rFonts w:hint="eastAsia" w:eastAsia="仿宋_GB2312" w:cs="仿宋_GB2312"/>
                <w:color w:val="000000"/>
                <w:kern w:val="0"/>
                <w:sz w:val="24"/>
              </w:rPr>
              <w:t>50</w:t>
            </w:r>
            <w:r>
              <w:rPr>
                <w:rFonts w:hint="eastAsia" w:ascii="仿宋_GB2312" w:hAnsi="仿宋_GB2312" w:eastAsia="仿宋_GB2312" w:cs="仿宋_GB2312"/>
                <w:color w:val="000000"/>
                <w:kern w:val="0"/>
                <w:sz w:val="24"/>
              </w:rPr>
              <w:t>万元（含）</w:t>
            </w:r>
          </w:p>
        </w:tc>
        <w:tc>
          <w:tcPr>
            <w:tcW w:w="1352" w:type="pct"/>
            <w:tcBorders>
              <w:tl2br w:val="nil"/>
              <w:tr2bl w:val="nil"/>
            </w:tcBorders>
            <w:shd w:val="clear" w:color="auto" w:fill="FFFFFF"/>
            <w:vAlign w:val="center"/>
          </w:tcPr>
          <w:p w14:paraId="5D4AD67C">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600</w:t>
            </w:r>
            <w:r>
              <w:rPr>
                <w:rFonts w:hint="eastAsia" w:ascii="仿宋_GB2312" w:hAnsi="仿宋_GB2312" w:eastAsia="仿宋_GB2312" w:cs="仿宋_GB2312"/>
                <w:color w:val="000000"/>
                <w:kern w:val="0"/>
                <w:sz w:val="24"/>
              </w:rPr>
              <w:t>元</w:t>
            </w:r>
          </w:p>
        </w:tc>
        <w:tc>
          <w:tcPr>
            <w:tcW w:w="1172" w:type="pct"/>
            <w:vMerge w:val="continue"/>
            <w:tcBorders>
              <w:tl2br w:val="nil"/>
              <w:tr2bl w:val="nil"/>
            </w:tcBorders>
            <w:shd w:val="clear" w:color="auto" w:fill="FFFFFF"/>
            <w:vAlign w:val="center"/>
          </w:tcPr>
          <w:p w14:paraId="2C0FD2E5">
            <w:pPr>
              <w:widowControl/>
              <w:jc w:val="center"/>
              <w:textAlignment w:val="top"/>
              <w:rPr>
                <w:rFonts w:eastAsia="仿宋_GB2312" w:cs="仿宋_GB2312"/>
                <w:color w:val="000000"/>
                <w:kern w:val="0"/>
                <w:sz w:val="24"/>
              </w:rPr>
            </w:pPr>
          </w:p>
        </w:tc>
      </w:tr>
      <w:tr w14:paraId="74E2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7D035113">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48B78965">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50</w:t>
            </w:r>
            <w:r>
              <w:rPr>
                <w:rFonts w:hint="eastAsia" w:ascii="仿宋_GB2312" w:hAnsi="仿宋_GB2312" w:eastAsia="仿宋_GB2312" w:cs="仿宋_GB2312"/>
                <w:color w:val="000000"/>
                <w:kern w:val="0"/>
                <w:sz w:val="24"/>
              </w:rPr>
              <w:t>万元至</w:t>
            </w:r>
            <w:r>
              <w:rPr>
                <w:rFonts w:hint="eastAsia" w:eastAsia="仿宋_GB2312" w:cs="仿宋_GB2312"/>
                <w:color w:val="000000"/>
                <w:kern w:val="0"/>
                <w:sz w:val="24"/>
              </w:rPr>
              <w:t>100</w:t>
            </w:r>
            <w:r>
              <w:rPr>
                <w:rFonts w:hint="eastAsia" w:ascii="仿宋_GB2312" w:hAnsi="仿宋_GB2312" w:eastAsia="仿宋_GB2312" w:cs="仿宋_GB2312"/>
                <w:color w:val="000000"/>
                <w:kern w:val="0"/>
                <w:sz w:val="24"/>
              </w:rPr>
              <w:t>万元（含）</w:t>
            </w:r>
          </w:p>
        </w:tc>
        <w:tc>
          <w:tcPr>
            <w:tcW w:w="1352" w:type="pct"/>
            <w:tcBorders>
              <w:tl2br w:val="nil"/>
              <w:tr2bl w:val="nil"/>
            </w:tcBorders>
            <w:shd w:val="clear" w:color="auto" w:fill="FFFFFF"/>
            <w:vAlign w:val="center"/>
          </w:tcPr>
          <w:p w14:paraId="59CA50A1">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0</w:t>
            </w:r>
            <w:r>
              <w:rPr>
                <w:rFonts w:hint="eastAsia" w:ascii="仿宋_GB2312" w:hAnsi="仿宋_GB2312" w:eastAsia="仿宋_GB2312" w:cs="仿宋_GB2312"/>
                <w:color w:val="000000"/>
                <w:kern w:val="0"/>
                <w:sz w:val="24"/>
              </w:rPr>
              <w:t>.</w:t>
            </w:r>
            <w:r>
              <w:rPr>
                <w:rFonts w:hint="eastAsia" w:eastAsia="仿宋_GB2312" w:cs="仿宋_GB2312"/>
                <w:color w:val="000000"/>
                <w:kern w:val="0"/>
                <w:sz w:val="24"/>
              </w:rPr>
              <w:t>25</w:t>
            </w:r>
            <w:r>
              <w:rPr>
                <w:rFonts w:hint="eastAsia" w:ascii="仿宋_GB2312" w:hAnsi="仿宋_GB2312" w:eastAsia="仿宋_GB2312" w:cs="仿宋_GB2312"/>
                <w:color w:val="000000"/>
                <w:kern w:val="0"/>
                <w:sz w:val="24"/>
              </w:rPr>
              <w:t>%</w:t>
            </w:r>
          </w:p>
        </w:tc>
        <w:tc>
          <w:tcPr>
            <w:tcW w:w="1172" w:type="pct"/>
            <w:vMerge w:val="continue"/>
            <w:tcBorders>
              <w:tl2br w:val="nil"/>
              <w:tr2bl w:val="nil"/>
            </w:tcBorders>
            <w:shd w:val="clear" w:color="auto" w:fill="FFFFFF"/>
            <w:vAlign w:val="center"/>
          </w:tcPr>
          <w:p w14:paraId="0ECD26A4">
            <w:pPr>
              <w:widowControl/>
              <w:jc w:val="center"/>
              <w:textAlignment w:val="top"/>
              <w:rPr>
                <w:rFonts w:eastAsia="仿宋_GB2312" w:cs="仿宋_GB2312"/>
                <w:color w:val="000000"/>
                <w:kern w:val="0"/>
                <w:sz w:val="24"/>
              </w:rPr>
            </w:pPr>
          </w:p>
        </w:tc>
      </w:tr>
      <w:tr w14:paraId="7421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7CA14CAB">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7BC7A1B6">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100</w:t>
            </w:r>
            <w:r>
              <w:rPr>
                <w:rFonts w:hint="eastAsia" w:ascii="仿宋_GB2312" w:hAnsi="仿宋_GB2312" w:eastAsia="仿宋_GB2312" w:cs="仿宋_GB2312"/>
                <w:color w:val="000000"/>
                <w:kern w:val="0"/>
                <w:sz w:val="24"/>
              </w:rPr>
              <w:t>万元至</w:t>
            </w:r>
            <w:r>
              <w:rPr>
                <w:rFonts w:hint="eastAsia" w:eastAsia="仿宋_GB2312" w:cs="仿宋_GB2312"/>
                <w:color w:val="000000"/>
                <w:kern w:val="0"/>
                <w:sz w:val="24"/>
              </w:rPr>
              <w:t>300</w:t>
            </w:r>
            <w:r>
              <w:rPr>
                <w:rFonts w:hint="eastAsia" w:ascii="仿宋_GB2312" w:hAnsi="仿宋_GB2312" w:eastAsia="仿宋_GB2312" w:cs="仿宋_GB2312"/>
                <w:color w:val="000000"/>
                <w:kern w:val="0"/>
                <w:sz w:val="24"/>
              </w:rPr>
              <w:t>万元（含）</w:t>
            </w:r>
          </w:p>
        </w:tc>
        <w:tc>
          <w:tcPr>
            <w:tcW w:w="1352" w:type="pct"/>
            <w:tcBorders>
              <w:tl2br w:val="nil"/>
              <w:tr2bl w:val="nil"/>
            </w:tcBorders>
            <w:shd w:val="clear" w:color="auto" w:fill="FFFFFF"/>
            <w:vAlign w:val="center"/>
          </w:tcPr>
          <w:p w14:paraId="5D30E137">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0</w:t>
            </w:r>
            <w:r>
              <w:rPr>
                <w:rFonts w:hint="eastAsia" w:ascii="仿宋_GB2312" w:hAnsi="仿宋_GB2312" w:eastAsia="仿宋_GB2312" w:cs="仿宋_GB2312"/>
                <w:color w:val="000000"/>
                <w:kern w:val="0"/>
                <w:sz w:val="24"/>
              </w:rPr>
              <w:t>.</w:t>
            </w:r>
            <w:r>
              <w:rPr>
                <w:rFonts w:hint="eastAsia" w:eastAsia="仿宋_GB2312" w:cs="仿宋_GB2312"/>
                <w:color w:val="000000"/>
                <w:kern w:val="0"/>
                <w:sz w:val="24"/>
              </w:rPr>
              <w:t>15</w:t>
            </w:r>
            <w:r>
              <w:rPr>
                <w:rFonts w:hint="eastAsia" w:ascii="仿宋_GB2312" w:hAnsi="仿宋_GB2312" w:eastAsia="仿宋_GB2312" w:cs="仿宋_GB2312"/>
                <w:color w:val="000000"/>
                <w:kern w:val="0"/>
                <w:sz w:val="24"/>
              </w:rPr>
              <w:t>%</w:t>
            </w:r>
          </w:p>
        </w:tc>
        <w:tc>
          <w:tcPr>
            <w:tcW w:w="1172" w:type="pct"/>
            <w:vMerge w:val="continue"/>
            <w:tcBorders>
              <w:tl2br w:val="nil"/>
              <w:tr2bl w:val="nil"/>
            </w:tcBorders>
            <w:shd w:val="clear" w:color="auto" w:fill="FFFFFF"/>
            <w:vAlign w:val="center"/>
          </w:tcPr>
          <w:p w14:paraId="54953098">
            <w:pPr>
              <w:widowControl/>
              <w:jc w:val="center"/>
              <w:textAlignment w:val="top"/>
              <w:rPr>
                <w:rFonts w:eastAsia="仿宋_GB2312" w:cs="仿宋_GB2312"/>
                <w:color w:val="000000"/>
                <w:kern w:val="0"/>
                <w:sz w:val="24"/>
              </w:rPr>
            </w:pPr>
          </w:p>
        </w:tc>
      </w:tr>
      <w:tr w14:paraId="6F64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4D3D2991">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4D6CE385">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300</w:t>
            </w:r>
            <w:r>
              <w:rPr>
                <w:rFonts w:hint="eastAsia" w:ascii="仿宋_GB2312" w:hAnsi="仿宋_GB2312" w:eastAsia="仿宋_GB2312" w:cs="仿宋_GB2312"/>
                <w:color w:val="000000"/>
                <w:kern w:val="0"/>
                <w:sz w:val="24"/>
              </w:rPr>
              <w:t>万元至</w:t>
            </w:r>
            <w:r>
              <w:rPr>
                <w:rFonts w:hint="eastAsia" w:eastAsia="仿宋_GB2312" w:cs="仿宋_GB2312"/>
                <w:color w:val="000000"/>
                <w:kern w:val="0"/>
                <w:sz w:val="24"/>
              </w:rPr>
              <w:t>500</w:t>
            </w:r>
            <w:r>
              <w:rPr>
                <w:rFonts w:hint="eastAsia" w:ascii="仿宋_GB2312" w:hAnsi="仿宋_GB2312" w:eastAsia="仿宋_GB2312" w:cs="仿宋_GB2312"/>
                <w:color w:val="000000"/>
                <w:kern w:val="0"/>
                <w:sz w:val="24"/>
              </w:rPr>
              <w:t>万元（含）</w:t>
            </w:r>
          </w:p>
        </w:tc>
        <w:tc>
          <w:tcPr>
            <w:tcW w:w="1352" w:type="pct"/>
            <w:tcBorders>
              <w:tl2br w:val="nil"/>
              <w:tr2bl w:val="nil"/>
            </w:tcBorders>
            <w:shd w:val="clear" w:color="auto" w:fill="FFFFFF"/>
            <w:vAlign w:val="center"/>
          </w:tcPr>
          <w:p w14:paraId="41D95180">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0</w:t>
            </w:r>
            <w:r>
              <w:rPr>
                <w:rFonts w:hint="eastAsia" w:ascii="仿宋_GB2312" w:hAnsi="仿宋_GB2312" w:eastAsia="仿宋_GB2312" w:cs="仿宋_GB2312"/>
                <w:color w:val="000000"/>
                <w:kern w:val="0"/>
                <w:sz w:val="24"/>
              </w:rPr>
              <w:t>.</w:t>
            </w:r>
            <w:r>
              <w:rPr>
                <w:rFonts w:hint="eastAsia" w:eastAsia="仿宋_GB2312" w:cs="仿宋_GB2312"/>
                <w:color w:val="000000"/>
                <w:kern w:val="0"/>
                <w:sz w:val="24"/>
              </w:rPr>
              <w:t>12</w:t>
            </w:r>
            <w:r>
              <w:rPr>
                <w:rFonts w:hint="eastAsia" w:ascii="仿宋_GB2312" w:hAnsi="仿宋_GB2312" w:eastAsia="仿宋_GB2312" w:cs="仿宋_GB2312"/>
                <w:color w:val="000000"/>
                <w:kern w:val="0"/>
                <w:sz w:val="24"/>
              </w:rPr>
              <w:t>%</w:t>
            </w:r>
          </w:p>
        </w:tc>
        <w:tc>
          <w:tcPr>
            <w:tcW w:w="1172" w:type="pct"/>
            <w:vMerge w:val="continue"/>
            <w:tcBorders>
              <w:tl2br w:val="nil"/>
              <w:tr2bl w:val="nil"/>
            </w:tcBorders>
            <w:shd w:val="clear" w:color="auto" w:fill="FFFFFF"/>
            <w:vAlign w:val="center"/>
          </w:tcPr>
          <w:p w14:paraId="32016D1D">
            <w:pPr>
              <w:widowControl/>
              <w:jc w:val="center"/>
              <w:textAlignment w:val="top"/>
              <w:rPr>
                <w:rFonts w:eastAsia="仿宋_GB2312" w:cs="仿宋_GB2312"/>
                <w:color w:val="000000"/>
                <w:kern w:val="0"/>
                <w:sz w:val="24"/>
              </w:rPr>
            </w:pPr>
          </w:p>
        </w:tc>
      </w:tr>
      <w:tr w14:paraId="0FB9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79CDC137">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36BC1BF6">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500</w:t>
            </w:r>
            <w:r>
              <w:rPr>
                <w:rFonts w:hint="eastAsia" w:ascii="仿宋_GB2312" w:hAnsi="仿宋_GB2312" w:eastAsia="仿宋_GB2312" w:cs="仿宋_GB2312"/>
                <w:color w:val="000000"/>
                <w:kern w:val="0"/>
                <w:sz w:val="24"/>
              </w:rPr>
              <w:t>万元至</w:t>
            </w:r>
            <w:r>
              <w:rPr>
                <w:rFonts w:hint="eastAsia" w:eastAsia="仿宋_GB2312" w:cs="仿宋_GB2312"/>
                <w:color w:val="000000"/>
                <w:kern w:val="0"/>
                <w:sz w:val="24"/>
              </w:rPr>
              <w:t>1000</w:t>
            </w:r>
            <w:r>
              <w:rPr>
                <w:rFonts w:hint="eastAsia" w:ascii="仿宋_GB2312" w:hAnsi="仿宋_GB2312" w:eastAsia="仿宋_GB2312" w:cs="仿宋_GB2312"/>
                <w:color w:val="000000"/>
                <w:kern w:val="0"/>
                <w:sz w:val="24"/>
              </w:rPr>
              <w:t>万元（含）</w:t>
            </w:r>
          </w:p>
        </w:tc>
        <w:tc>
          <w:tcPr>
            <w:tcW w:w="1352" w:type="pct"/>
            <w:tcBorders>
              <w:tl2br w:val="nil"/>
              <w:tr2bl w:val="nil"/>
            </w:tcBorders>
            <w:shd w:val="clear" w:color="auto" w:fill="FFFFFF"/>
            <w:vAlign w:val="center"/>
          </w:tcPr>
          <w:p w14:paraId="304FC381">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0</w:t>
            </w:r>
            <w:r>
              <w:rPr>
                <w:rFonts w:hint="eastAsia" w:ascii="仿宋_GB2312" w:hAnsi="仿宋_GB2312" w:eastAsia="仿宋_GB2312" w:cs="仿宋_GB2312"/>
                <w:color w:val="000000"/>
                <w:kern w:val="0"/>
                <w:sz w:val="24"/>
              </w:rPr>
              <w:t>.</w:t>
            </w:r>
            <w:r>
              <w:rPr>
                <w:rFonts w:hint="eastAsia" w:eastAsia="仿宋_GB2312" w:cs="仿宋_GB2312"/>
                <w:color w:val="000000"/>
                <w:kern w:val="0"/>
                <w:sz w:val="24"/>
              </w:rPr>
              <w:t>10</w:t>
            </w:r>
            <w:r>
              <w:rPr>
                <w:rFonts w:hint="eastAsia" w:ascii="仿宋_GB2312" w:hAnsi="仿宋_GB2312" w:eastAsia="仿宋_GB2312" w:cs="仿宋_GB2312"/>
                <w:color w:val="000000"/>
                <w:kern w:val="0"/>
                <w:sz w:val="24"/>
              </w:rPr>
              <w:t>%</w:t>
            </w:r>
          </w:p>
        </w:tc>
        <w:tc>
          <w:tcPr>
            <w:tcW w:w="1172" w:type="pct"/>
            <w:vMerge w:val="continue"/>
            <w:tcBorders>
              <w:tl2br w:val="nil"/>
              <w:tr2bl w:val="nil"/>
            </w:tcBorders>
            <w:shd w:val="clear" w:color="auto" w:fill="FFFFFF"/>
            <w:vAlign w:val="center"/>
          </w:tcPr>
          <w:p w14:paraId="31BD70C4">
            <w:pPr>
              <w:widowControl/>
              <w:jc w:val="center"/>
              <w:textAlignment w:val="top"/>
              <w:rPr>
                <w:rFonts w:eastAsia="仿宋_GB2312" w:cs="仿宋_GB2312"/>
                <w:color w:val="000000"/>
                <w:kern w:val="0"/>
                <w:sz w:val="24"/>
              </w:rPr>
            </w:pPr>
          </w:p>
        </w:tc>
      </w:tr>
      <w:tr w14:paraId="44CC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09" w:type="pct"/>
            <w:vMerge w:val="continue"/>
            <w:tcBorders>
              <w:tl2br w:val="nil"/>
              <w:tr2bl w:val="nil"/>
            </w:tcBorders>
            <w:shd w:val="clear" w:color="auto" w:fill="FFFFFF"/>
            <w:vAlign w:val="center"/>
          </w:tcPr>
          <w:p w14:paraId="3F2866A7">
            <w:pPr>
              <w:jc w:val="center"/>
              <w:rPr>
                <w:rFonts w:ascii="仿宋_GB2312" w:hAnsi="仿宋_GB2312" w:eastAsia="仿宋_GB2312" w:cs="仿宋_GB2312"/>
                <w:color w:val="000000"/>
                <w:sz w:val="24"/>
              </w:rPr>
            </w:pPr>
          </w:p>
        </w:tc>
        <w:tc>
          <w:tcPr>
            <w:tcW w:w="1965" w:type="pct"/>
            <w:tcBorders>
              <w:tl2br w:val="nil"/>
              <w:tr2bl w:val="nil"/>
            </w:tcBorders>
            <w:shd w:val="clear" w:color="auto" w:fill="FFFFFF"/>
            <w:vAlign w:val="center"/>
          </w:tcPr>
          <w:p w14:paraId="7F0B6627">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1000</w:t>
            </w:r>
            <w:r>
              <w:rPr>
                <w:rFonts w:hint="eastAsia" w:ascii="仿宋_GB2312" w:hAnsi="仿宋_GB2312" w:eastAsia="仿宋_GB2312" w:cs="仿宋_GB2312"/>
                <w:color w:val="000000"/>
                <w:kern w:val="0"/>
                <w:sz w:val="24"/>
              </w:rPr>
              <w:t>万元以上</w:t>
            </w:r>
          </w:p>
        </w:tc>
        <w:tc>
          <w:tcPr>
            <w:tcW w:w="1352" w:type="pct"/>
            <w:tcBorders>
              <w:tl2br w:val="nil"/>
              <w:tr2bl w:val="nil"/>
            </w:tcBorders>
            <w:shd w:val="clear" w:color="auto" w:fill="FFFFFF"/>
            <w:vAlign w:val="center"/>
          </w:tcPr>
          <w:p w14:paraId="7F9A2BE2">
            <w:pPr>
              <w:widowControl/>
              <w:jc w:val="center"/>
              <w:textAlignment w:val="top"/>
              <w:rPr>
                <w:rFonts w:ascii="仿宋_GB2312" w:hAnsi="仿宋_GB2312" w:eastAsia="仿宋_GB2312" w:cs="仿宋_GB2312"/>
                <w:color w:val="000000"/>
                <w:sz w:val="24"/>
              </w:rPr>
            </w:pPr>
            <w:r>
              <w:rPr>
                <w:rFonts w:hint="eastAsia" w:eastAsia="仿宋_GB2312" w:cs="仿宋_GB2312"/>
                <w:color w:val="000000"/>
                <w:kern w:val="0"/>
                <w:sz w:val="24"/>
              </w:rPr>
              <w:t>0</w:t>
            </w:r>
            <w:r>
              <w:rPr>
                <w:rFonts w:hint="eastAsia" w:ascii="仿宋_GB2312" w:hAnsi="仿宋_GB2312" w:eastAsia="仿宋_GB2312" w:cs="仿宋_GB2312"/>
                <w:color w:val="000000"/>
                <w:kern w:val="0"/>
                <w:sz w:val="24"/>
              </w:rPr>
              <w:t>.</w:t>
            </w:r>
            <w:r>
              <w:rPr>
                <w:rFonts w:hint="eastAsia" w:eastAsia="仿宋_GB2312" w:cs="仿宋_GB2312"/>
                <w:color w:val="000000"/>
                <w:kern w:val="0"/>
                <w:sz w:val="24"/>
              </w:rPr>
              <w:t>08</w:t>
            </w:r>
            <w:r>
              <w:rPr>
                <w:rFonts w:hint="eastAsia" w:ascii="仿宋_GB2312" w:hAnsi="仿宋_GB2312" w:eastAsia="仿宋_GB2312" w:cs="仿宋_GB2312"/>
                <w:color w:val="000000"/>
                <w:kern w:val="0"/>
                <w:sz w:val="24"/>
              </w:rPr>
              <w:t>%</w:t>
            </w:r>
          </w:p>
        </w:tc>
        <w:tc>
          <w:tcPr>
            <w:tcW w:w="1172" w:type="pct"/>
            <w:vMerge w:val="continue"/>
            <w:tcBorders>
              <w:tl2br w:val="nil"/>
              <w:tr2bl w:val="nil"/>
            </w:tcBorders>
            <w:shd w:val="clear" w:color="auto" w:fill="FFFFFF"/>
            <w:vAlign w:val="center"/>
          </w:tcPr>
          <w:p w14:paraId="72CF926B">
            <w:pPr>
              <w:widowControl/>
              <w:jc w:val="center"/>
              <w:textAlignment w:val="top"/>
              <w:rPr>
                <w:rFonts w:eastAsia="仿宋_GB2312" w:cs="仿宋_GB2312"/>
                <w:color w:val="000000"/>
                <w:kern w:val="0"/>
                <w:sz w:val="24"/>
              </w:rPr>
            </w:pPr>
          </w:p>
        </w:tc>
      </w:tr>
    </w:tbl>
    <w:p w14:paraId="711E4115">
      <w:pPr>
        <w:spacing w:line="520" w:lineRule="exact"/>
        <w:rPr>
          <w:rFonts w:asciiTheme="minorEastAsia" w:hAnsiTheme="minorEastAsia" w:eastAsiaTheme="minorEastAsia"/>
          <w:b/>
          <w:sz w:val="24"/>
        </w:rPr>
      </w:pPr>
      <w:r>
        <w:rPr>
          <w:rFonts w:hint="eastAsia" w:asciiTheme="minorEastAsia" w:hAnsiTheme="minorEastAsia" w:eastAsiaTheme="minorEastAsia"/>
          <w:b/>
          <w:sz w:val="24"/>
        </w:rPr>
        <w:t>十五、</w:t>
      </w:r>
      <w:r>
        <w:rPr>
          <w:rFonts w:hint="eastAsia" w:asciiTheme="minorEastAsia" w:hAnsiTheme="minorEastAsia" w:eastAsiaTheme="minorEastAsia"/>
          <w:b/>
          <w:bCs/>
          <w:sz w:val="24"/>
        </w:rPr>
        <w:t>付款方式</w:t>
      </w:r>
    </w:p>
    <w:p w14:paraId="6FE80891">
      <w:pPr>
        <w:spacing w:line="520" w:lineRule="exact"/>
        <w:ind w:firstLine="560"/>
        <w:rPr>
          <w:rFonts w:asciiTheme="minorEastAsia" w:hAnsiTheme="minorEastAsia" w:eastAsiaTheme="minorEastAsia"/>
          <w:sz w:val="24"/>
          <w:highlight w:val="none"/>
        </w:rPr>
      </w:pPr>
      <w:r>
        <w:rPr>
          <w:rFonts w:hint="eastAsia" w:ascii="宋体" w:hAnsi="宋体" w:cs="宋体"/>
          <w:color w:val="000000"/>
          <w:kern w:val="0"/>
          <w:sz w:val="24"/>
          <w:highlight w:val="none"/>
        </w:rPr>
        <w:t>1.受让方须在成交之日起5个工作日内签订《股权转让合同》并在《股权转让合同》生效之日起五个工作日内一次性付清全部转让价款。</w:t>
      </w:r>
    </w:p>
    <w:p w14:paraId="65451A97">
      <w:pPr>
        <w:spacing w:line="520" w:lineRule="exact"/>
        <w:ind w:firstLine="56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2.受让方的</w:t>
      </w:r>
      <w:r>
        <w:rPr>
          <w:rFonts w:hint="eastAsia" w:asciiTheme="minorEastAsia" w:hAnsiTheme="minorEastAsia" w:eastAsiaTheme="minorEastAsia"/>
          <w:color w:val="000000"/>
          <w:sz w:val="24"/>
          <w:highlight w:val="none"/>
        </w:rPr>
        <w:t>交易保证金扣除交易服务费后可充抵</w:t>
      </w:r>
      <w:r>
        <w:rPr>
          <w:rFonts w:hint="eastAsia" w:ascii="宋体" w:hAnsi="宋体" w:cs="宋体"/>
          <w:color w:val="000000"/>
          <w:kern w:val="0"/>
          <w:sz w:val="24"/>
          <w:highlight w:val="none"/>
        </w:rPr>
        <w:t>转让款</w:t>
      </w:r>
      <w:r>
        <w:rPr>
          <w:rFonts w:hint="eastAsia" w:asciiTheme="minorEastAsia" w:hAnsiTheme="minorEastAsia" w:eastAsiaTheme="minorEastAsia"/>
          <w:color w:val="000000"/>
          <w:sz w:val="24"/>
          <w:highlight w:val="none"/>
        </w:rPr>
        <w:t>，</w:t>
      </w:r>
      <w:r>
        <w:rPr>
          <w:rFonts w:hint="eastAsia" w:asciiTheme="minorEastAsia" w:hAnsiTheme="minorEastAsia" w:eastAsiaTheme="minorEastAsia"/>
          <w:sz w:val="24"/>
          <w:highlight w:val="none"/>
        </w:rPr>
        <w:t>本公司开具收款凭证（除交易服务费外，不提供项目转让款的发票）。</w:t>
      </w:r>
    </w:p>
    <w:p w14:paraId="4610B4E0">
      <w:pPr>
        <w:spacing w:line="520" w:lineRule="exact"/>
        <w:rPr>
          <w:rFonts w:asciiTheme="minorEastAsia" w:hAnsiTheme="minorEastAsia" w:eastAsiaTheme="minorEastAsia"/>
          <w:b/>
          <w:sz w:val="24"/>
        </w:rPr>
      </w:pPr>
      <w:r>
        <w:rPr>
          <w:rFonts w:hint="eastAsia" w:asciiTheme="minorEastAsia" w:hAnsiTheme="minorEastAsia" w:eastAsiaTheme="minorEastAsia"/>
          <w:b/>
          <w:sz w:val="24"/>
        </w:rPr>
        <w:t>十六、税费承担</w:t>
      </w:r>
    </w:p>
    <w:p w14:paraId="17EC22F5">
      <w:pPr>
        <w:spacing w:line="520" w:lineRule="exac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color w:val="000000"/>
          <w:sz w:val="24"/>
        </w:rPr>
        <w:t>1.本次股权及债权转让过程中所涉及的所有税费按法律规定的直接义务人承担，没有明确规定的由受让方承担。</w:t>
      </w:r>
    </w:p>
    <w:p w14:paraId="0B5A278E">
      <w:pPr>
        <w:spacing w:line="520" w:lineRule="exac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sz w:val="24"/>
        </w:rPr>
        <w:t>2.竞买人自行承担参加项目相关的全部费用（包括但不限于差旅费、邮寄费、资料费等）。</w:t>
      </w:r>
    </w:p>
    <w:p w14:paraId="2D33D410">
      <w:pPr>
        <w:spacing w:line="520" w:lineRule="exact"/>
        <w:rPr>
          <w:rFonts w:asciiTheme="minorEastAsia" w:hAnsiTheme="minorEastAsia" w:eastAsiaTheme="minorEastAsia"/>
          <w:b/>
          <w:sz w:val="24"/>
        </w:rPr>
      </w:pPr>
      <w:r>
        <w:rPr>
          <w:rFonts w:hint="eastAsia" w:asciiTheme="minorEastAsia" w:hAnsiTheme="minorEastAsia" w:eastAsiaTheme="minorEastAsia"/>
          <w:b/>
          <w:sz w:val="24"/>
        </w:rPr>
        <w:t>十七、</w:t>
      </w:r>
      <w:r>
        <w:rPr>
          <w:rFonts w:hint="eastAsia" w:asciiTheme="minorEastAsia" w:hAnsiTheme="minorEastAsia" w:eastAsiaTheme="minorEastAsia"/>
          <w:b/>
          <w:color w:val="000000"/>
          <w:sz w:val="24"/>
        </w:rPr>
        <w:t>竞价标的提示及移交</w:t>
      </w:r>
    </w:p>
    <w:p w14:paraId="2CD4BC4B">
      <w:pPr>
        <w:spacing w:line="520" w:lineRule="exact"/>
        <w:ind w:firstLine="516" w:firstLineChars="215"/>
        <w:rPr>
          <w:rFonts w:asciiTheme="minorEastAsia" w:hAnsiTheme="minorEastAsia" w:eastAsiaTheme="minorEastAsia"/>
          <w:sz w:val="24"/>
        </w:rPr>
      </w:pPr>
      <w:r>
        <w:rPr>
          <w:rFonts w:hint="eastAsia" w:asciiTheme="minorEastAsia" w:hAnsiTheme="minorEastAsia" w:eastAsiaTheme="minorEastAsia"/>
          <w:color w:val="000000" w:themeColor="text1"/>
          <w:sz w:val="24"/>
        </w:rPr>
        <w:t>1.竞买人在竞价之前，应自行了解核实竞价标的现状，做好尽职调查，并到相关部门了</w:t>
      </w:r>
      <w:r>
        <w:rPr>
          <w:rFonts w:hint="eastAsia" w:asciiTheme="minorEastAsia" w:hAnsiTheme="minorEastAsia" w:eastAsiaTheme="minorEastAsia"/>
          <w:sz w:val="24"/>
        </w:rPr>
        <w:t>解标的办理股权变更等情况。</w:t>
      </w:r>
    </w:p>
    <w:p w14:paraId="254E0491">
      <w:pPr>
        <w:spacing w:line="520" w:lineRule="exact"/>
        <w:ind w:firstLine="516" w:firstLineChars="215"/>
        <w:rPr>
          <w:rFonts w:asciiTheme="minorEastAsia" w:hAnsiTheme="minorEastAsia" w:eastAsiaTheme="minorEastAsia"/>
          <w:b/>
          <w:sz w:val="24"/>
        </w:rPr>
      </w:pPr>
      <w:r>
        <w:rPr>
          <w:rFonts w:hint="eastAsia" w:asciiTheme="minorEastAsia" w:hAnsiTheme="minorEastAsia" w:eastAsiaTheme="minorEastAsia"/>
          <w:sz w:val="24"/>
        </w:rPr>
        <w:t>2.本次转让标的，委托人在受让方付清所有股权转让款之日起5个工作日内协助受让方办理股权变更相关手续，因受让方的原因产生无法办理股权变更手续等一切后果均由受让方自行负责，本公司和委托人不承担任何经济和法律责任。</w:t>
      </w:r>
    </w:p>
    <w:p w14:paraId="6BED031F">
      <w:pPr>
        <w:spacing w:line="520" w:lineRule="exact"/>
        <w:ind w:firstLine="516" w:firstLineChars="215"/>
        <w:rPr>
          <w:rFonts w:cs="宋体" w:asciiTheme="minorEastAsia" w:hAnsiTheme="minorEastAsia" w:eastAsiaTheme="minorEastAsia"/>
          <w:sz w:val="24"/>
        </w:rPr>
      </w:pPr>
      <w:r>
        <w:rPr>
          <w:rFonts w:hint="eastAsia" w:cs="宋体" w:asciiTheme="minorEastAsia" w:hAnsiTheme="minorEastAsia" w:eastAsiaTheme="minorEastAsia"/>
          <w:sz w:val="24"/>
        </w:rPr>
        <w:t>3.竞价成交后，标的风险随之转移给受让方，本公司仅能证明受让方是通过公开合法途径获得转让标的，并不保证受让方具备成为股东的资格条件，受让方要自行承担可能产生的风险(法律、经济等)。</w:t>
      </w:r>
    </w:p>
    <w:p w14:paraId="55BD30DD">
      <w:pPr>
        <w:spacing w:line="520" w:lineRule="exact"/>
        <w:ind w:firstLine="516" w:firstLineChars="215"/>
        <w:rPr>
          <w:rFonts w:asciiTheme="minorEastAsia" w:hAnsiTheme="minorEastAsia" w:eastAsiaTheme="minorEastAsia"/>
          <w:sz w:val="24"/>
        </w:rPr>
      </w:pPr>
      <w:r>
        <w:rPr>
          <w:rFonts w:hint="eastAsia" w:asciiTheme="minorEastAsia" w:hAnsiTheme="minorEastAsia" w:eastAsiaTheme="minorEastAsia"/>
          <w:sz w:val="24"/>
        </w:rPr>
        <w:t>4.其它未尽事宜详见《股权转让合同》(格式)。</w:t>
      </w:r>
    </w:p>
    <w:p w14:paraId="382CF3C2">
      <w:pPr>
        <w:spacing w:line="520" w:lineRule="exact"/>
        <w:ind w:firstLine="516" w:firstLineChars="215"/>
        <w:rPr>
          <w:rFonts w:asciiTheme="minorEastAsia" w:hAnsiTheme="minorEastAsia" w:eastAsiaTheme="minorEastAsia"/>
          <w:sz w:val="24"/>
        </w:rPr>
      </w:pPr>
      <w:r>
        <w:rPr>
          <w:rFonts w:hint="eastAsia" w:asciiTheme="minorEastAsia" w:hAnsiTheme="minorEastAsia" w:eastAsiaTheme="minorEastAsia"/>
          <w:sz w:val="24"/>
        </w:rPr>
        <w:t>5.转让标的</w:t>
      </w:r>
      <w:r>
        <w:rPr>
          <w:rFonts w:asciiTheme="minorEastAsia" w:hAnsiTheme="minorEastAsia" w:eastAsiaTheme="minorEastAsia"/>
          <w:sz w:val="24"/>
        </w:rPr>
        <w:t>如在交割时遇特殊情况而本</w:t>
      </w:r>
      <w:r>
        <w:rPr>
          <w:rFonts w:hint="eastAsia" w:asciiTheme="minorEastAsia" w:hAnsiTheme="minorEastAsia" w:eastAsiaTheme="minorEastAsia"/>
          <w:sz w:val="24"/>
        </w:rPr>
        <w:t>公司</w:t>
      </w:r>
      <w:r>
        <w:rPr>
          <w:rFonts w:asciiTheme="minorEastAsia" w:hAnsiTheme="minorEastAsia" w:eastAsiaTheme="minorEastAsia"/>
          <w:sz w:val="24"/>
        </w:rPr>
        <w:t>无力协调的或由于不可抗力的原因而影响正常移交的，本</w:t>
      </w:r>
      <w:r>
        <w:rPr>
          <w:rFonts w:hint="eastAsia" w:asciiTheme="minorEastAsia" w:hAnsiTheme="minorEastAsia" w:eastAsiaTheme="minorEastAsia"/>
          <w:sz w:val="24"/>
        </w:rPr>
        <w:t>公司及委托方</w:t>
      </w:r>
      <w:r>
        <w:rPr>
          <w:rFonts w:asciiTheme="minorEastAsia" w:hAnsiTheme="minorEastAsia" w:eastAsiaTheme="minorEastAsia"/>
          <w:sz w:val="24"/>
        </w:rPr>
        <w:t>不承担由此造成的一切损失。</w:t>
      </w:r>
    </w:p>
    <w:p w14:paraId="1D95EC1E">
      <w:pPr>
        <w:spacing w:line="520" w:lineRule="exact"/>
        <w:rPr>
          <w:rFonts w:asciiTheme="minorEastAsia" w:hAnsiTheme="minorEastAsia" w:eastAsiaTheme="minorEastAsia"/>
          <w:sz w:val="24"/>
        </w:rPr>
      </w:pPr>
      <w:r>
        <w:rPr>
          <w:rFonts w:hint="eastAsia" w:asciiTheme="minorEastAsia" w:hAnsiTheme="minorEastAsia" w:eastAsiaTheme="minorEastAsia"/>
          <w:b/>
          <w:sz w:val="24"/>
        </w:rPr>
        <w:t>十八、违约责任</w:t>
      </w:r>
      <w:r>
        <w:rPr>
          <w:rFonts w:hint="eastAsia" w:asciiTheme="minorEastAsia" w:hAnsiTheme="minorEastAsia" w:eastAsiaTheme="minorEastAsia"/>
          <w:sz w:val="24"/>
        </w:rPr>
        <w:t>：</w:t>
      </w:r>
    </w:p>
    <w:p w14:paraId="08BB2A39">
      <w:pPr>
        <w:spacing w:line="520" w:lineRule="exact"/>
        <w:ind w:firstLine="516" w:firstLineChars="21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竞买人应价后反悔的，或者受让方拒不及时签订《成交确认书》，本公司按违约处理，交易保证金不予退还，作为竞买人或受让方向本公司支付的违约金；同时本公司和委托人有权将标的收回另行处理并保留向该受让方提起赔偿诉讼的权利。</w:t>
      </w:r>
    </w:p>
    <w:p w14:paraId="32D7CAC1">
      <w:pPr>
        <w:spacing w:line="520" w:lineRule="exact"/>
        <w:ind w:firstLine="516" w:firstLineChars="215"/>
        <w:rPr>
          <w:rFonts w:asciiTheme="minorEastAsia" w:hAnsiTheme="minorEastAsia" w:eastAsiaTheme="minorEastAsia"/>
          <w:sz w:val="24"/>
          <w:highlight w:val="yellow"/>
        </w:rPr>
      </w:pPr>
      <w:r>
        <w:rPr>
          <w:rFonts w:hint="eastAsia" w:asciiTheme="minorEastAsia" w:hAnsiTheme="minorEastAsia" w:eastAsiaTheme="minorEastAsia"/>
          <w:sz w:val="24"/>
          <w:highlight w:val="none"/>
        </w:rPr>
        <w:t>2.受让方未按本规定签订《股权转让合同》、或支付标的转让款、交易服务费的，本公司按违约处理，交易保证金不予退回，同时《成交确认书》自动失效，并视情况对标的再次竞价或另行处理，本公司和委托人将保留向该受让方提起赔偿诉讼的权利。</w:t>
      </w:r>
    </w:p>
    <w:p w14:paraId="0D457837">
      <w:pPr>
        <w:spacing w:line="580" w:lineRule="exact"/>
        <w:rPr>
          <w:rFonts w:asciiTheme="minorEastAsia" w:hAnsiTheme="minorEastAsia" w:eastAsiaTheme="minorEastAsia"/>
          <w:b/>
          <w:bCs/>
          <w:color w:val="000000" w:themeColor="text1"/>
          <w:sz w:val="24"/>
        </w:rPr>
      </w:pPr>
      <w:r>
        <w:rPr>
          <w:rFonts w:hint="eastAsia" w:asciiTheme="minorEastAsia" w:hAnsiTheme="minorEastAsia" w:eastAsiaTheme="minorEastAsia"/>
          <w:b/>
          <w:bCs/>
          <w:color w:val="000000" w:themeColor="text1"/>
          <w:sz w:val="24"/>
        </w:rPr>
        <w:t>十九、其他有关事项</w:t>
      </w:r>
    </w:p>
    <w:p w14:paraId="199E9C7C">
      <w:pPr>
        <w:spacing w:line="580" w:lineRule="exact"/>
        <w:ind w:firstLine="480" w:firstLineChars="20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1.此次挂牌竞价转让活动是在公开、公平、公正的竞争下进行的。</w:t>
      </w:r>
    </w:p>
    <w:p w14:paraId="5B1EF652">
      <w:pPr>
        <w:spacing w:line="580" w:lineRule="exact"/>
        <w:ind w:firstLine="480" w:firstLineChars="20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2.竞买人必须遵守本特别规定，并受此制约。</w:t>
      </w:r>
    </w:p>
    <w:p w14:paraId="5AAEF91C">
      <w:pPr>
        <w:spacing w:line="580" w:lineRule="exact"/>
        <w:ind w:firstLine="480" w:firstLineChars="20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3.竞买人必须事先办理登记手续，提交有关材料。</w:t>
      </w:r>
    </w:p>
    <w:p w14:paraId="43EBB7AD">
      <w:pPr>
        <w:spacing w:line="580" w:lineRule="exact"/>
        <w:ind w:firstLine="480" w:firstLineChars="20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4.竞买人必须在报名截止时间之前了解挂牌竞价转让标的实际情况。一旦报价，即表明已完全了解情况，并完全接受本《特别规定》各条款的规定（含竞买人违约条款）和挂牌竞价转让条件，对自己参加竞价的行为完全负责。</w:t>
      </w:r>
    </w:p>
    <w:p w14:paraId="427F40B6">
      <w:pPr>
        <w:spacing w:line="580" w:lineRule="exact"/>
        <w:ind w:firstLine="480" w:firstLineChars="20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5.竞买人一经应价，不得以任何借口反悔，否则以违约处理。</w:t>
      </w:r>
    </w:p>
    <w:p w14:paraId="04986221">
      <w:pPr>
        <w:spacing w:line="580" w:lineRule="exact"/>
        <w:ind w:firstLine="482" w:firstLineChars="200"/>
        <w:rPr>
          <w:rFonts w:asciiTheme="minorEastAsia" w:hAnsiTheme="minorEastAsia" w:eastAsiaTheme="minorEastAsia"/>
          <w:b/>
          <w:color w:val="FF0000"/>
          <w:sz w:val="24"/>
        </w:rPr>
      </w:pPr>
      <w:r>
        <w:rPr>
          <w:rFonts w:hint="eastAsia" w:asciiTheme="minorEastAsia" w:hAnsiTheme="minorEastAsia" w:eastAsiaTheme="minorEastAsia"/>
          <w:b/>
          <w:color w:val="FF0000"/>
          <w:sz w:val="24"/>
        </w:rPr>
        <w:t>6.</w:t>
      </w:r>
      <w:r>
        <w:rPr>
          <w:rFonts w:hint="eastAsia" w:ascii="微软雅黑" w:hAnsi="微软雅黑" w:eastAsia="微软雅黑"/>
          <w:b/>
          <w:color w:val="FF0000"/>
          <w:shd w:val="clear" w:color="auto" w:fill="FFFFFF"/>
        </w:rPr>
        <w:t xml:space="preserve"> </w:t>
      </w:r>
      <w:r>
        <w:rPr>
          <w:rFonts w:hint="eastAsia" w:asciiTheme="minorEastAsia" w:hAnsiTheme="minorEastAsia" w:eastAsiaTheme="minorEastAsia"/>
          <w:b/>
          <w:color w:val="FF0000"/>
          <w:sz w:val="24"/>
          <w:shd w:val="clear" w:color="auto" w:fill="FFFFFF"/>
        </w:rPr>
        <w:t>竞买人应妥善保管好用户名及密码，用户名为竞买人参加网络竞价的唯一合法身份，所有用户登录后的报价均视为竞买人本人真实意愿的表示。如用户名丢失或被他人盗用所造成的一切后果均由竞买人负责。</w:t>
      </w:r>
    </w:p>
    <w:p w14:paraId="7A8EB03B">
      <w:pPr>
        <w:spacing w:line="580" w:lineRule="exact"/>
        <w:ind w:firstLine="480" w:firstLineChars="20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7.</w:t>
      </w:r>
      <w:r>
        <w:rPr>
          <w:rFonts w:hint="eastAsia" w:asciiTheme="minorEastAsia" w:hAnsiTheme="minorEastAsia" w:eastAsiaTheme="minorEastAsia" w:cstheme="minorEastAsia"/>
          <w:color w:val="000000" w:themeColor="text1"/>
          <w:sz w:val="24"/>
        </w:rPr>
        <w:t>竞价转让文件如有更正修改，公告将在龙岩产权交易网（http://</w:t>
      </w:r>
      <w:r>
        <w:rPr>
          <w:rFonts w:hint="eastAsia" w:asciiTheme="minorEastAsia" w:hAnsiTheme="minorEastAsia" w:eastAsiaTheme="minorEastAsia" w:cstheme="minorEastAsia"/>
          <w:color w:val="000000" w:themeColor="text1"/>
          <w:sz w:val="24"/>
          <w:u w:val="single"/>
        </w:rPr>
        <w:t>www.lycqjy.com</w:t>
      </w:r>
      <w:r>
        <w:rPr>
          <w:rFonts w:hint="eastAsia" w:asciiTheme="minorEastAsia" w:hAnsiTheme="minorEastAsia" w:eastAsiaTheme="minorEastAsia" w:cstheme="minorEastAsia"/>
          <w:color w:val="000000" w:themeColor="text1"/>
          <w:sz w:val="24"/>
        </w:rPr>
        <w:t>）、龙岩市公共资源交易中心网站（</w:t>
      </w:r>
      <w:r>
        <w:fldChar w:fldCharType="begin"/>
      </w:r>
      <w:r>
        <w:instrText xml:space="preserve"> HYPERLINK "http://https://www.lyggzy.com.cn" </w:instrText>
      </w:r>
      <w:r>
        <w:fldChar w:fldCharType="separate"/>
      </w:r>
      <w:r>
        <w:rPr>
          <w:rStyle w:val="17"/>
          <w:rFonts w:hint="eastAsia" w:asciiTheme="minorEastAsia" w:hAnsiTheme="minorEastAsia" w:eastAsiaTheme="minorEastAsia" w:cstheme="minorEastAsia"/>
          <w:color w:val="000000" w:themeColor="text1"/>
          <w:sz w:val="24"/>
        </w:rPr>
        <w:t>https://www.lyggzy.com.cn</w:t>
      </w:r>
      <w:r>
        <w:rPr>
          <w:rStyle w:val="17"/>
          <w:rFonts w:hint="eastAsia" w:asciiTheme="minorEastAsia" w:hAnsiTheme="minorEastAsia" w:eastAsiaTheme="minorEastAsia" w:cstheme="minorEastAsia"/>
          <w:color w:val="000000" w:themeColor="text1"/>
          <w:sz w:val="24"/>
        </w:rPr>
        <w:fldChar w:fldCharType="end"/>
      </w:r>
      <w:r>
        <w:rPr>
          <w:rFonts w:hint="eastAsia" w:asciiTheme="minorEastAsia" w:hAnsiTheme="minorEastAsia" w:eastAsiaTheme="minorEastAsia" w:cstheme="minorEastAsia"/>
          <w:color w:val="000000" w:themeColor="text1"/>
          <w:sz w:val="24"/>
        </w:rPr>
        <w:t>）上</w:t>
      </w:r>
      <w:r>
        <w:rPr>
          <w:rFonts w:hint="eastAsia" w:asciiTheme="minorEastAsia" w:hAnsiTheme="minorEastAsia" w:eastAsiaTheme="minorEastAsia"/>
          <w:color w:val="000000" w:themeColor="text1"/>
          <w:sz w:val="24"/>
        </w:rPr>
        <w:t>发布，请竞买人随时密切关注上述网站并下载相关信息，本公司不再另行通知（相同内容如有多次修改，以最后一次修改为准）。竞买人未查看、下载修改内容的，由此造成的后果由竞买人自行负责。</w:t>
      </w:r>
    </w:p>
    <w:p w14:paraId="47D7279D">
      <w:pPr>
        <w:spacing w:line="58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8.有需要通知事项时，本公司以</w:t>
      </w:r>
      <w:r>
        <w:rPr>
          <w:rFonts w:hint="eastAsia" w:asciiTheme="minorEastAsia" w:hAnsiTheme="minorEastAsia" w:eastAsiaTheme="minorEastAsia"/>
          <w:sz w:val="24"/>
        </w:rPr>
        <w:t>竞买人</w:t>
      </w:r>
      <w:r>
        <w:rPr>
          <w:rFonts w:hint="eastAsia" w:cs="宋体" w:asciiTheme="minorEastAsia" w:hAnsiTheme="minorEastAsia" w:eastAsiaTheme="minorEastAsia"/>
          <w:sz w:val="24"/>
        </w:rPr>
        <w:t>报名时载明的联系电话、联系地址（未另外注明的以身份证为准）通过邮寄方式或语音、短信的方式通知竞买人，即使竞买人不签收或未收到通知，均视为竞买人已收到通知，并以本公司发出通知（通知单日期和邮戳日期为准）后的第二天视为送达之日，</w:t>
      </w:r>
      <w:r>
        <w:rPr>
          <w:rFonts w:hint="eastAsia" w:asciiTheme="minorEastAsia" w:hAnsiTheme="minorEastAsia" w:eastAsiaTheme="minorEastAsia"/>
          <w:sz w:val="24"/>
        </w:rPr>
        <w:t>由此造成的后果由竞买人自行负责。</w:t>
      </w:r>
      <w:r>
        <w:rPr>
          <w:rFonts w:hint="eastAsia" w:cs="宋体" w:asciiTheme="minorEastAsia" w:hAnsiTheme="minorEastAsia" w:eastAsiaTheme="minorEastAsia"/>
          <w:b/>
          <w:sz w:val="24"/>
        </w:rPr>
        <w:t>竞买人成为受让方参照此条款执行</w:t>
      </w:r>
      <w:r>
        <w:rPr>
          <w:rFonts w:hint="eastAsia" w:cs="宋体" w:asciiTheme="minorEastAsia" w:hAnsiTheme="minorEastAsia" w:eastAsiaTheme="minorEastAsia"/>
          <w:sz w:val="24"/>
        </w:rPr>
        <w:t>。</w:t>
      </w:r>
    </w:p>
    <w:p w14:paraId="2730845B">
      <w:pPr>
        <w:spacing w:line="580" w:lineRule="exact"/>
        <w:rPr>
          <w:rFonts w:asciiTheme="minorEastAsia" w:hAnsiTheme="minorEastAsia" w:eastAsiaTheme="minorEastAsia"/>
          <w:sz w:val="24"/>
        </w:rPr>
      </w:pPr>
      <w:r>
        <w:rPr>
          <w:rFonts w:hint="eastAsia" w:asciiTheme="minorEastAsia" w:hAnsiTheme="minorEastAsia" w:eastAsiaTheme="minorEastAsia"/>
          <w:b/>
          <w:sz w:val="24"/>
        </w:rPr>
        <w:t>二十、</w:t>
      </w:r>
      <w:r>
        <w:rPr>
          <w:rFonts w:hint="eastAsia" w:asciiTheme="minorEastAsia" w:hAnsiTheme="minorEastAsia" w:eastAsiaTheme="minorEastAsia"/>
          <w:b/>
          <w:bCs/>
          <w:sz w:val="24"/>
        </w:rPr>
        <w:t>特别提请注意事项：</w:t>
      </w:r>
    </w:p>
    <w:p w14:paraId="3416C44E">
      <w:pPr>
        <w:pBdr>
          <w:top w:val="single" w:color="auto" w:sz="4" w:space="1"/>
          <w:left w:val="single" w:color="auto" w:sz="4" w:space="4"/>
          <w:bottom w:val="single" w:color="auto" w:sz="4" w:space="1"/>
          <w:right w:val="single" w:color="auto" w:sz="4" w:space="4"/>
        </w:pBdr>
        <w:spacing w:line="580" w:lineRule="exact"/>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1.本次转让标的评估基准日为2026年6月30日，交易基准日为评估基准日。自交易基准日起至股权工商变更完成之日止，标的公司期间产生的盈利或亏损，均由受让方享有或承担。</w:t>
      </w:r>
    </w:p>
    <w:p w14:paraId="13DD1982">
      <w:pPr>
        <w:pBdr>
          <w:top w:val="single" w:color="auto" w:sz="4" w:space="1"/>
          <w:left w:val="single" w:color="auto" w:sz="4" w:space="4"/>
          <w:bottom w:val="single" w:color="auto" w:sz="4" w:space="1"/>
          <w:right w:val="single" w:color="auto" w:sz="4" w:space="4"/>
        </w:pBdr>
        <w:spacing w:line="580" w:lineRule="exact"/>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2.本公司已将知悉的与标的转让有关的情况（含瑕疵部份）全部体现在竞买人领取的竞价文件上，转让标的是否存在其他瑕疵情况请竞买人自行核实。若对竞价标的、本公司提供的资料有异议或者需要委托人说明的事项，应当于竞价日前一个工作日16时前以书面形式向本公司提出。由委托人在竞价之前作出解释说明。竞买人参加竞价，视为无异议，并对竞价标的存在或可能存在的瑕疵表示认可，并承诺因存在或可能存在的瑕疵造成的风险由受让方承担。</w:t>
      </w:r>
    </w:p>
    <w:p w14:paraId="1F11A7C0">
      <w:pPr>
        <w:pBdr>
          <w:top w:val="single" w:color="auto" w:sz="4" w:space="1"/>
          <w:left w:val="single" w:color="auto" w:sz="4" w:space="4"/>
          <w:bottom w:val="single" w:color="auto" w:sz="4" w:space="1"/>
          <w:right w:val="single" w:color="auto" w:sz="4" w:space="4"/>
        </w:pBdr>
        <w:spacing w:line="580" w:lineRule="exact"/>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3.竞买人只有在充分理解本次转让标的以及与本次标的转让相关的其他具体情况的基础上，才能进行竞价。竞价成交后，本公司不对竞价标的瑕疵承担任何责任；受让方不得以任何理由要求降低成交款，也不得以任何理由要求毁约。</w:t>
      </w:r>
    </w:p>
    <w:p w14:paraId="5F930082">
      <w:pPr>
        <w:spacing w:line="580" w:lineRule="exact"/>
        <w:ind w:firstLine="4440" w:firstLineChars="1850"/>
        <w:rPr>
          <w:rFonts w:asciiTheme="minorEastAsia" w:hAnsiTheme="minorEastAsia" w:eastAsiaTheme="minorEastAsia"/>
          <w:sz w:val="24"/>
        </w:rPr>
      </w:pPr>
    </w:p>
    <w:p w14:paraId="75882775">
      <w:pPr>
        <w:spacing w:line="520" w:lineRule="exact"/>
        <w:ind w:firstLine="5040" w:firstLineChars="2100"/>
        <w:rPr>
          <w:rFonts w:asciiTheme="minorEastAsia" w:hAnsiTheme="minorEastAsia" w:eastAsiaTheme="minorEastAsia"/>
          <w:sz w:val="24"/>
        </w:rPr>
      </w:pPr>
      <w:r>
        <w:rPr>
          <w:rFonts w:hint="eastAsia" w:asciiTheme="minorEastAsia" w:hAnsiTheme="minorEastAsia" w:eastAsiaTheme="minorEastAsia"/>
          <w:sz w:val="24"/>
        </w:rPr>
        <w:t>龙岩市产权交易中心有限公司</w:t>
      </w:r>
    </w:p>
    <w:p w14:paraId="0134C32B">
      <w:pPr>
        <w:spacing w:line="520" w:lineRule="exact"/>
        <w:ind w:firstLine="5640" w:firstLineChars="2350"/>
        <w:rPr>
          <w:rFonts w:asciiTheme="minorEastAsia" w:hAnsiTheme="minorEastAsia" w:eastAsiaTheme="minorEastAsia"/>
          <w:sz w:val="24"/>
        </w:rPr>
      </w:pPr>
      <w:r>
        <w:rPr>
          <w:rFonts w:hint="eastAsia" w:asciiTheme="minorEastAsia" w:hAnsiTheme="minorEastAsia" w:eastAsiaTheme="minorEastAsia"/>
          <w:sz w:val="24"/>
        </w:rPr>
        <w:t>2026年8月14日</w:t>
      </w:r>
    </w:p>
    <w:p w14:paraId="739BE5EE">
      <w:pPr>
        <w:widowControl/>
        <w:jc w:val="left"/>
        <w:rPr>
          <w:rFonts w:asciiTheme="minorEastAsia" w:hAnsiTheme="minorEastAsia" w:eastAsiaTheme="minorEastAsia"/>
        </w:rPr>
      </w:pPr>
      <w:r>
        <w:rPr>
          <w:rFonts w:asciiTheme="minorEastAsia" w:hAnsiTheme="minorEastAsia" w:eastAsiaTheme="minorEastAsia"/>
        </w:rPr>
        <w:br w:type="page"/>
      </w:r>
    </w:p>
    <w:p w14:paraId="2155D0FC">
      <w:pPr>
        <w:widowControl/>
        <w:spacing w:line="380" w:lineRule="exact"/>
        <w:jc w:val="left"/>
        <w:rPr>
          <w:rFonts w:asciiTheme="minorEastAsia" w:hAnsiTheme="minorEastAsia" w:eastAsiaTheme="minorEastAsia"/>
        </w:rPr>
      </w:pPr>
    </w:p>
    <w:p w14:paraId="50473EFB">
      <w:pPr>
        <w:spacing w:line="460" w:lineRule="exact"/>
        <w:jc w:val="center"/>
        <w:rPr>
          <w:b/>
          <w:sz w:val="44"/>
          <w:szCs w:val="44"/>
        </w:rPr>
      </w:pPr>
      <w:r>
        <w:rPr>
          <w:rFonts w:hint="eastAsia"/>
          <w:b/>
          <w:sz w:val="44"/>
          <w:szCs w:val="44"/>
        </w:rPr>
        <w:t>承诺书</w:t>
      </w:r>
    </w:p>
    <w:p w14:paraId="0DF0DD05">
      <w:pPr>
        <w:spacing w:line="460" w:lineRule="exact"/>
        <w:jc w:val="center"/>
        <w:rPr>
          <w:sz w:val="24"/>
          <w:u w:val="single"/>
        </w:rPr>
      </w:pPr>
    </w:p>
    <w:p w14:paraId="7932F6C1">
      <w:pPr>
        <w:spacing w:line="460" w:lineRule="exact"/>
        <w:jc w:val="center"/>
        <w:rPr>
          <w:sz w:val="24"/>
          <w:u w:val="single"/>
        </w:rPr>
      </w:pPr>
    </w:p>
    <w:p w14:paraId="095C587C">
      <w:pPr>
        <w:spacing w:line="360" w:lineRule="auto"/>
        <w:rPr>
          <w:sz w:val="24"/>
        </w:rPr>
      </w:pPr>
      <w:r>
        <w:rPr>
          <w:rFonts w:hint="eastAsia"/>
          <w:sz w:val="24"/>
        </w:rPr>
        <w:t>龙岩市产权交易中心有限公司：</w:t>
      </w:r>
    </w:p>
    <w:p w14:paraId="4DBD023D">
      <w:pPr>
        <w:spacing w:line="360" w:lineRule="auto"/>
        <w:ind w:firstLine="480" w:firstLineChars="200"/>
        <w:rPr>
          <w:rFonts w:ascii="宋体" w:hAnsi="宋体"/>
          <w:sz w:val="24"/>
        </w:rPr>
      </w:pPr>
      <w:r>
        <w:rPr>
          <w:rFonts w:hint="eastAsia" w:asciiTheme="minorEastAsia" w:hAnsiTheme="minorEastAsia" w:eastAsiaTheme="minorEastAsia"/>
          <w:sz w:val="24"/>
        </w:rPr>
        <w:t>本竞买人</w:t>
      </w:r>
      <w:r>
        <w:rPr>
          <w:rFonts w:hint="eastAsia" w:ascii="宋体" w:hAnsi="宋体"/>
          <w:sz w:val="24"/>
        </w:rPr>
        <w:t>承诺提供的报名材料真实、合法、有效，</w:t>
      </w:r>
      <w:r>
        <w:rPr>
          <w:rFonts w:hint="eastAsia" w:asciiTheme="minorEastAsia" w:hAnsiTheme="minorEastAsia" w:eastAsiaTheme="minorEastAsia"/>
          <w:sz w:val="24"/>
        </w:rPr>
        <w:t>自愿报名参加贵司于2026年9月14日在权益云交易平台举行的“</w:t>
      </w:r>
      <w:r>
        <w:rPr>
          <w:rFonts w:hint="eastAsia"/>
          <w:sz w:val="24"/>
        </w:rPr>
        <w:t>龙岩北荣矿业有限责任公司19%股权”多次报价</w:t>
      </w:r>
      <w:r>
        <w:rPr>
          <w:rFonts w:hint="eastAsia" w:ascii="宋体" w:hAnsi="宋体"/>
          <w:sz w:val="24"/>
        </w:rPr>
        <w:t>，已知悉权益云的网络竞价流程,</w:t>
      </w:r>
      <w:r>
        <w:rPr>
          <w:rFonts w:hint="eastAsia"/>
          <w:sz w:val="24"/>
        </w:rPr>
        <w:t>并保证有到标的物现场查勘现状，一旦参加竞买，视为对标的现状无异议，即对标的存在或可能存在的瑕疵表示认可，并承诺因存在或可能存在的瑕疵造成的风险由本人（公司）承担。同时已收悉</w:t>
      </w:r>
      <w:r>
        <w:rPr>
          <w:rFonts w:hint="eastAsia" w:ascii="宋体" w:hAnsi="宋体"/>
          <w:sz w:val="24"/>
        </w:rPr>
        <w:t>《竞价转让文件》（项目编号：ZR2026-30）中的全部材料</w:t>
      </w:r>
      <w:r>
        <w:rPr>
          <w:rFonts w:hint="eastAsia"/>
          <w:sz w:val="24"/>
        </w:rPr>
        <w:t>，</w:t>
      </w:r>
      <w:r>
        <w:rPr>
          <w:rFonts w:hint="eastAsia" w:ascii="宋体" w:hAnsi="宋体"/>
          <w:sz w:val="24"/>
        </w:rPr>
        <w:t>并保证遵守和全面履行《</w:t>
      </w:r>
      <w:r>
        <w:rPr>
          <w:rFonts w:hint="eastAsia" w:ascii="宋体" w:hAnsi="宋体"/>
          <w:bCs/>
          <w:sz w:val="24"/>
        </w:rPr>
        <w:t>竞价转让特别规定</w:t>
      </w:r>
      <w:r>
        <w:rPr>
          <w:rFonts w:hint="eastAsia" w:ascii="宋体" w:hAnsi="宋体"/>
          <w:sz w:val="24"/>
        </w:rPr>
        <w:t>》中的各项规定，若违反该规定，本竞买人愿被取消竞价资格，保证金不予退回，并承担由此造成的一切经济和法律责任。</w:t>
      </w:r>
    </w:p>
    <w:p w14:paraId="20C5AE31">
      <w:pPr>
        <w:spacing w:line="360" w:lineRule="auto"/>
        <w:ind w:firstLine="573"/>
        <w:rPr>
          <w:bCs/>
          <w:sz w:val="24"/>
        </w:rPr>
      </w:pPr>
    </w:p>
    <w:p w14:paraId="65DE9353">
      <w:pPr>
        <w:ind w:firstLine="570"/>
        <w:rPr>
          <w:bCs/>
          <w:sz w:val="24"/>
        </w:rPr>
      </w:pPr>
    </w:p>
    <w:p w14:paraId="42D56418">
      <w:pPr>
        <w:ind w:firstLine="570"/>
        <w:rPr>
          <w:bCs/>
          <w:sz w:val="24"/>
        </w:rPr>
      </w:pPr>
    </w:p>
    <w:p w14:paraId="0B8FB3FC">
      <w:pPr>
        <w:ind w:firstLine="480" w:firstLineChars="200"/>
        <w:rPr>
          <w:sz w:val="24"/>
        </w:rPr>
      </w:pPr>
      <w:r>
        <w:rPr>
          <w:rFonts w:hint="eastAsia"/>
          <w:sz w:val="24"/>
        </w:rPr>
        <w:t>特此承诺</w:t>
      </w:r>
    </w:p>
    <w:p w14:paraId="7795DED7">
      <w:pPr>
        <w:spacing w:line="520" w:lineRule="exact"/>
        <w:ind w:firstLine="480" w:firstLineChars="200"/>
        <w:rPr>
          <w:sz w:val="24"/>
          <w:u w:val="single"/>
        </w:rPr>
      </w:pPr>
      <w:r>
        <w:rPr>
          <w:rFonts w:hint="eastAsia"/>
          <w:sz w:val="24"/>
        </w:rPr>
        <w:t xml:space="preserve">                 承诺人（竞买人公章）：</w:t>
      </w:r>
      <w:r>
        <w:rPr>
          <w:rFonts w:hint="eastAsia"/>
          <w:sz w:val="24"/>
          <w:u w:val="single"/>
        </w:rPr>
        <w:t xml:space="preserve">          </w:t>
      </w:r>
    </w:p>
    <w:p w14:paraId="56A9D12E">
      <w:pPr>
        <w:spacing w:line="520" w:lineRule="exact"/>
        <w:ind w:firstLine="2520" w:firstLineChars="1050"/>
        <w:rPr>
          <w:sz w:val="24"/>
          <w:u w:val="single"/>
        </w:rPr>
      </w:pPr>
      <w:r>
        <w:rPr>
          <w:rFonts w:hint="eastAsia"/>
          <w:sz w:val="24"/>
        </w:rPr>
        <w:t>法定代表人（签章）：</w:t>
      </w:r>
      <w:r>
        <w:rPr>
          <w:rFonts w:hint="eastAsia"/>
          <w:sz w:val="24"/>
          <w:u w:val="single"/>
        </w:rPr>
        <w:t xml:space="preserve">            </w:t>
      </w:r>
    </w:p>
    <w:p w14:paraId="467804FF">
      <w:pPr>
        <w:spacing w:line="520" w:lineRule="exact"/>
        <w:ind w:firstLine="2520" w:firstLineChars="1050"/>
        <w:rPr>
          <w:sz w:val="24"/>
          <w:u w:val="single"/>
        </w:rPr>
      </w:pPr>
      <w:r>
        <w:rPr>
          <w:rFonts w:hint="eastAsia"/>
          <w:sz w:val="24"/>
        </w:rPr>
        <w:t>授权代表（签章）：</w:t>
      </w:r>
      <w:r>
        <w:rPr>
          <w:rFonts w:hint="eastAsia"/>
          <w:sz w:val="24"/>
          <w:u w:val="single"/>
        </w:rPr>
        <w:t xml:space="preserve">              </w:t>
      </w:r>
    </w:p>
    <w:p w14:paraId="6E595E2E">
      <w:pPr>
        <w:spacing w:line="520" w:lineRule="exact"/>
        <w:ind w:firstLine="2520" w:firstLineChars="1050"/>
        <w:rPr>
          <w:sz w:val="24"/>
        </w:rPr>
      </w:pPr>
      <w:r>
        <w:rPr>
          <w:rFonts w:hint="eastAsia"/>
          <w:sz w:val="24"/>
        </w:rPr>
        <w:t>联系电话：</w:t>
      </w:r>
      <w:r>
        <w:rPr>
          <w:rFonts w:hint="eastAsia"/>
          <w:sz w:val="24"/>
          <w:u w:val="single"/>
        </w:rPr>
        <w:t xml:space="preserve">                     </w:t>
      </w:r>
    </w:p>
    <w:p w14:paraId="3F7B66E3">
      <w:pPr>
        <w:spacing w:line="520" w:lineRule="exact"/>
        <w:ind w:firstLine="2520" w:firstLineChars="1050"/>
        <w:rPr>
          <w:sz w:val="24"/>
          <w:u w:val="single"/>
        </w:rPr>
      </w:pPr>
    </w:p>
    <w:p w14:paraId="265966CE">
      <w:pPr>
        <w:spacing w:line="520" w:lineRule="exact"/>
        <w:ind w:firstLine="4560" w:firstLineChars="1900"/>
        <w:rPr>
          <w:sz w:val="24"/>
        </w:rPr>
      </w:pPr>
      <w:r>
        <w:rPr>
          <w:rFonts w:hint="eastAsia"/>
          <w:sz w:val="24"/>
        </w:rPr>
        <w:t>年   月   日</w:t>
      </w:r>
    </w:p>
    <w:p w14:paraId="3B1FAEEA">
      <w:pPr>
        <w:spacing w:line="520" w:lineRule="exact"/>
        <w:rPr>
          <w:sz w:val="24"/>
        </w:rPr>
      </w:pPr>
    </w:p>
    <w:p w14:paraId="72D6BD41">
      <w:pPr>
        <w:spacing w:line="520" w:lineRule="exact"/>
        <w:rPr>
          <w:sz w:val="24"/>
          <w:u w:val="single"/>
        </w:rPr>
      </w:pPr>
      <w:r>
        <w:rPr>
          <w:rFonts w:hint="eastAsia"/>
          <w:sz w:val="24"/>
          <w:u w:val="single"/>
        </w:rPr>
        <w:t xml:space="preserve">                                                           </w:t>
      </w:r>
    </w:p>
    <w:p w14:paraId="740B623F">
      <w:pPr>
        <w:spacing w:line="520" w:lineRule="exact"/>
        <w:ind w:left="720" w:hanging="720" w:hangingChars="300"/>
        <w:rPr>
          <w:sz w:val="24"/>
        </w:rPr>
      </w:pPr>
      <w:r>
        <w:rPr>
          <w:rFonts w:hint="eastAsia"/>
          <w:sz w:val="24"/>
        </w:rPr>
        <w:t>说明：1、竞买人为法人的，由法人单位盖公章，法定代表人或负责人签名或盖章。</w:t>
      </w:r>
    </w:p>
    <w:p w14:paraId="316F82CC">
      <w:pPr>
        <w:spacing w:line="520" w:lineRule="exact"/>
        <w:ind w:firstLine="720" w:firstLineChars="300"/>
        <w:rPr>
          <w:sz w:val="24"/>
        </w:rPr>
      </w:pPr>
      <w:r>
        <w:rPr>
          <w:rFonts w:hint="eastAsia"/>
          <w:sz w:val="24"/>
        </w:rPr>
        <w:t>2、本承诺书仅为样式，由竞买人另行出具。</w:t>
      </w:r>
    </w:p>
    <w:p w14:paraId="0C2A3FCC">
      <w:pPr>
        <w:widowControl/>
        <w:jc w:val="left"/>
      </w:pPr>
      <w:r>
        <w:br w:type="page"/>
      </w:r>
    </w:p>
    <w:p w14:paraId="0F70FCE2">
      <w:pPr>
        <w:jc w:val="center"/>
        <w:rPr>
          <w:b/>
          <w:bCs/>
          <w:sz w:val="44"/>
        </w:rPr>
      </w:pPr>
      <w:r>
        <w:rPr>
          <w:rFonts w:hint="eastAsia"/>
          <w:b/>
          <w:bCs/>
          <w:sz w:val="44"/>
        </w:rPr>
        <w:t>交保证金特别提示</w:t>
      </w:r>
    </w:p>
    <w:p w14:paraId="583383A8">
      <w:pPr>
        <w:spacing w:line="240" w:lineRule="exact"/>
        <w:jc w:val="center"/>
        <w:rPr>
          <w:b/>
          <w:bCs/>
          <w:sz w:val="44"/>
        </w:rPr>
      </w:pPr>
    </w:p>
    <w:p w14:paraId="0A3376F7">
      <w:pPr>
        <w:ind w:firstLine="560" w:firstLineChars="200"/>
        <w:rPr>
          <w:sz w:val="28"/>
          <w:szCs w:val="28"/>
        </w:rPr>
      </w:pPr>
      <w:r>
        <w:rPr>
          <w:rFonts w:hint="eastAsia"/>
          <w:sz w:val="28"/>
          <w:szCs w:val="28"/>
        </w:rPr>
        <w:t>以下二种交易保证金到达银行账户方式的期限：</w:t>
      </w:r>
    </w:p>
    <w:p w14:paraId="17850EC3">
      <w:pPr>
        <w:ind w:firstLine="560" w:firstLineChars="200"/>
        <w:rPr>
          <w:sz w:val="28"/>
          <w:szCs w:val="28"/>
        </w:rPr>
      </w:pPr>
      <w:r>
        <w:rPr>
          <w:rFonts w:hint="eastAsia"/>
          <w:sz w:val="28"/>
          <w:szCs w:val="28"/>
        </w:rPr>
        <w:t>（一）同城转账：当日资金即可到账，最迟不超过次日（节假日除外）；</w:t>
      </w:r>
    </w:p>
    <w:p w14:paraId="3D166FE6">
      <w:pPr>
        <w:ind w:firstLine="560" w:firstLineChars="200"/>
        <w:rPr>
          <w:sz w:val="28"/>
          <w:szCs w:val="28"/>
        </w:rPr>
      </w:pPr>
      <w:r>
        <w:rPr>
          <w:rFonts w:hint="eastAsia"/>
          <w:sz w:val="28"/>
          <w:szCs w:val="28"/>
        </w:rPr>
        <w:t>（二）电汇</w:t>
      </w:r>
    </w:p>
    <w:p w14:paraId="6D2D3437">
      <w:pPr>
        <w:ind w:firstLine="560" w:firstLineChars="200"/>
        <w:rPr>
          <w:sz w:val="28"/>
          <w:szCs w:val="28"/>
        </w:rPr>
      </w:pPr>
      <w:r>
        <w:rPr>
          <w:rFonts w:hint="eastAsia"/>
          <w:sz w:val="28"/>
          <w:szCs w:val="28"/>
        </w:rPr>
        <w:t>1、若通过中国人民银行电子转汇当日即可到账，最迟不超过次日（节假日除外）；</w:t>
      </w:r>
    </w:p>
    <w:p w14:paraId="60110AB1">
      <w:pPr>
        <w:ind w:firstLine="560" w:firstLineChars="200"/>
        <w:rPr>
          <w:sz w:val="28"/>
          <w:szCs w:val="28"/>
        </w:rPr>
      </w:pPr>
      <w:r>
        <w:rPr>
          <w:rFonts w:hint="eastAsia"/>
          <w:sz w:val="28"/>
          <w:szCs w:val="28"/>
        </w:rPr>
        <w:t>2、若通过同一银行系统，随汇随到，最迟不超过次日（节假日除外）；</w:t>
      </w:r>
    </w:p>
    <w:p w14:paraId="5C64FBA9">
      <w:pPr>
        <w:ind w:firstLine="560" w:firstLineChars="200"/>
        <w:rPr>
          <w:sz w:val="28"/>
          <w:szCs w:val="28"/>
        </w:rPr>
      </w:pPr>
      <w:r>
        <w:rPr>
          <w:rFonts w:hint="eastAsia"/>
          <w:sz w:val="28"/>
          <w:szCs w:val="28"/>
        </w:rPr>
        <w:t>3、若通过其他银行转汇，需5日（节假日除外）。</w:t>
      </w:r>
    </w:p>
    <w:p w14:paraId="616075FB">
      <w:pPr>
        <w:spacing w:line="520" w:lineRule="exact"/>
        <w:ind w:firstLine="280" w:firstLineChars="100"/>
        <w:rPr>
          <w:sz w:val="28"/>
          <w:szCs w:val="28"/>
        </w:rPr>
      </w:pPr>
      <w:r>
        <w:rPr>
          <w:rFonts w:hint="eastAsia"/>
          <w:sz w:val="28"/>
          <w:szCs w:val="28"/>
        </w:rPr>
        <w:t>竞买人应充分考虑保证金到账期限，若竞买人保证金未在规定时间前汇达账户（</w:t>
      </w:r>
      <w:r>
        <w:rPr>
          <w:rFonts w:hint="eastAsia" w:ascii="宋体" w:hAnsi="宋体" w:cs="宋体"/>
          <w:kern w:val="0"/>
          <w:sz w:val="28"/>
          <w:szCs w:val="28"/>
        </w:rPr>
        <w:t>开户行：厦门银行股份有限公司龙岩分行，户名：龙岩市产权交易中心有限公司，账号：80110120420000825</w:t>
      </w:r>
      <w:r>
        <w:rPr>
          <w:rFonts w:hint="eastAsia"/>
          <w:sz w:val="28"/>
          <w:szCs w:val="28"/>
        </w:rPr>
        <w:t>），将无权取得竞买人的资格。</w:t>
      </w:r>
    </w:p>
    <w:p w14:paraId="06F128F0">
      <w:pPr>
        <w:rPr>
          <w:sz w:val="28"/>
          <w:szCs w:val="28"/>
        </w:rPr>
      </w:pPr>
      <w:r>
        <w:rPr>
          <w:rFonts w:hint="eastAsia"/>
          <w:sz w:val="28"/>
          <w:szCs w:val="28"/>
        </w:rPr>
        <w:t xml:space="preserve"> </w:t>
      </w:r>
    </w:p>
    <w:p w14:paraId="1E18403B">
      <w:pPr>
        <w:rPr>
          <w:sz w:val="28"/>
          <w:szCs w:val="28"/>
        </w:rPr>
      </w:pPr>
    </w:p>
    <w:p w14:paraId="09390F6D">
      <w:pPr>
        <w:widowControl/>
        <w:jc w:val="left"/>
      </w:pPr>
      <w:r>
        <w:br w:type="page"/>
      </w:r>
    </w:p>
    <w:p w14:paraId="2E318B84">
      <w:pPr>
        <w:jc w:val="center"/>
        <w:rPr>
          <w:rFonts w:eastAsia="黑体"/>
          <w:sz w:val="44"/>
        </w:rPr>
      </w:pPr>
      <w:r>
        <w:rPr>
          <w:rFonts w:hint="eastAsia" w:eastAsia="黑体"/>
          <w:sz w:val="44"/>
        </w:rPr>
        <w:t>交易保证金缴纳凭证</w:t>
      </w:r>
    </w:p>
    <w:p w14:paraId="40B9FB11">
      <w:pPr>
        <w:rPr>
          <w:sz w:val="32"/>
        </w:rPr>
      </w:pPr>
    </w:p>
    <w:tbl>
      <w:tblPr>
        <w:tblStyle w:val="12"/>
        <w:tblW w:w="85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6"/>
      </w:tblGrid>
      <w:tr w14:paraId="3496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2" w:hRule="atLeast"/>
        </w:trPr>
        <w:tc>
          <w:tcPr>
            <w:tcW w:w="8536" w:type="dxa"/>
          </w:tcPr>
          <w:p w14:paraId="2050DF77">
            <w:pPr>
              <w:jc w:val="center"/>
              <w:rPr>
                <w:sz w:val="32"/>
              </w:rPr>
            </w:pPr>
          </w:p>
          <w:p w14:paraId="6C54FA29">
            <w:pPr>
              <w:jc w:val="center"/>
              <w:rPr>
                <w:sz w:val="28"/>
                <w:szCs w:val="28"/>
              </w:rPr>
            </w:pPr>
            <w:r>
              <w:rPr>
                <w:rFonts w:hint="eastAsia"/>
                <w:sz w:val="28"/>
                <w:szCs w:val="28"/>
              </w:rPr>
              <w:t>竞买人提供银行进账单复印件（粘贴处）</w:t>
            </w:r>
          </w:p>
          <w:p w14:paraId="6C08A991">
            <w:pPr>
              <w:jc w:val="center"/>
              <w:rPr>
                <w:sz w:val="32"/>
              </w:rPr>
            </w:pPr>
            <w:r>
              <w:rPr>
                <w:rFonts w:hint="eastAsia"/>
                <w:sz w:val="28"/>
                <w:szCs w:val="28"/>
              </w:rPr>
              <w:t>（原件备查）</w:t>
            </w:r>
          </w:p>
        </w:tc>
      </w:tr>
    </w:tbl>
    <w:p w14:paraId="03D7A702">
      <w:pPr>
        <w:rPr>
          <w:sz w:val="32"/>
        </w:rPr>
      </w:pPr>
    </w:p>
    <w:p w14:paraId="62289F16">
      <w:pPr>
        <w:widowControl/>
        <w:jc w:val="left"/>
      </w:pPr>
      <w:r>
        <w:br w:type="page"/>
      </w:r>
    </w:p>
    <w:p w14:paraId="12925D6A">
      <w:pPr>
        <w:jc w:val="center"/>
        <w:rPr>
          <w:rFonts w:eastAsia="黑体"/>
          <w:sz w:val="44"/>
        </w:rPr>
      </w:pPr>
      <w:r>
        <w:rPr>
          <w:rFonts w:hint="eastAsia" w:eastAsia="黑体"/>
          <w:sz w:val="44"/>
        </w:rPr>
        <w:t>授权委托书（法人）</w:t>
      </w:r>
    </w:p>
    <w:p w14:paraId="0BC32B6A">
      <w:pPr>
        <w:spacing w:line="240" w:lineRule="exact"/>
        <w:jc w:val="center"/>
        <w:rPr>
          <w:rFonts w:eastAsia="黑体"/>
          <w:sz w:val="44"/>
        </w:rPr>
      </w:pPr>
    </w:p>
    <w:p w14:paraId="7C0B09A4">
      <w:pPr>
        <w:ind w:firstLine="560" w:firstLineChars="200"/>
        <w:rPr>
          <w:sz w:val="28"/>
          <w:szCs w:val="28"/>
          <w:u w:val="single"/>
        </w:rPr>
      </w:pPr>
      <w:r>
        <w:rPr>
          <w:rFonts w:hint="eastAsia"/>
          <w:sz w:val="28"/>
          <w:szCs w:val="28"/>
        </w:rPr>
        <w:t>本授权委托书声明：我</w:t>
      </w:r>
      <w:r>
        <w:rPr>
          <w:rFonts w:hint="eastAsia"/>
          <w:sz w:val="28"/>
          <w:szCs w:val="28"/>
          <w:u w:val="single"/>
        </w:rPr>
        <w:t xml:space="preserve">             </w:t>
      </w:r>
      <w:r>
        <w:rPr>
          <w:rFonts w:hint="eastAsia"/>
          <w:sz w:val="28"/>
          <w:szCs w:val="28"/>
        </w:rPr>
        <w:t>（姓名）系</w:t>
      </w:r>
      <w:r>
        <w:rPr>
          <w:rFonts w:hint="eastAsia"/>
          <w:sz w:val="28"/>
          <w:szCs w:val="28"/>
          <w:u w:val="single"/>
        </w:rPr>
        <w:t xml:space="preserve">            </w:t>
      </w:r>
    </w:p>
    <w:p w14:paraId="075EEED1">
      <w:pPr>
        <w:rPr>
          <w:sz w:val="28"/>
          <w:szCs w:val="28"/>
          <w:u w:val="single"/>
        </w:rPr>
      </w:pPr>
      <w:r>
        <w:rPr>
          <w:rFonts w:hint="eastAsia"/>
          <w:sz w:val="28"/>
          <w:szCs w:val="28"/>
          <w:u w:val="single"/>
        </w:rPr>
        <w:t xml:space="preserve">                  </w:t>
      </w:r>
      <w:r>
        <w:rPr>
          <w:rFonts w:hint="eastAsia"/>
          <w:sz w:val="28"/>
          <w:szCs w:val="28"/>
        </w:rPr>
        <w:t xml:space="preserve">（竞买人）的法定代表人，现授权委托 </w:t>
      </w:r>
      <w:r>
        <w:rPr>
          <w:rFonts w:hint="eastAsia"/>
          <w:sz w:val="28"/>
          <w:szCs w:val="28"/>
          <w:u w:val="single"/>
        </w:rPr>
        <w:t xml:space="preserve">      </w:t>
      </w:r>
    </w:p>
    <w:p w14:paraId="44A30A2E">
      <w:pPr>
        <w:rPr>
          <w:sz w:val="28"/>
          <w:szCs w:val="28"/>
        </w:rPr>
      </w:pPr>
      <w:r>
        <w:rPr>
          <w:rFonts w:hint="eastAsia"/>
          <w:sz w:val="28"/>
          <w:szCs w:val="28"/>
          <w:u w:val="single"/>
        </w:rPr>
        <w:t xml:space="preserve">                       </w:t>
      </w:r>
      <w:r>
        <w:rPr>
          <w:rFonts w:hint="eastAsia"/>
          <w:sz w:val="28"/>
          <w:szCs w:val="28"/>
        </w:rPr>
        <w:t>（单位名称）的</w:t>
      </w:r>
      <w:r>
        <w:rPr>
          <w:rFonts w:hint="eastAsia"/>
          <w:sz w:val="28"/>
          <w:szCs w:val="28"/>
          <w:u w:val="single"/>
        </w:rPr>
        <w:t xml:space="preserve">              </w:t>
      </w:r>
      <w:r>
        <w:rPr>
          <w:rFonts w:hint="eastAsia"/>
          <w:sz w:val="28"/>
          <w:szCs w:val="28"/>
        </w:rPr>
        <w:t>（姓名）为我公司代理人，以本公司名义参加</w:t>
      </w:r>
      <w:r>
        <w:rPr>
          <w:rFonts w:hint="eastAsia"/>
          <w:sz w:val="28"/>
          <w:szCs w:val="28"/>
          <w:u w:val="single"/>
        </w:rPr>
        <w:t xml:space="preserve">                    </w:t>
      </w:r>
      <w:r>
        <w:rPr>
          <w:rFonts w:hint="eastAsia"/>
          <w:sz w:val="28"/>
          <w:szCs w:val="28"/>
        </w:rPr>
        <w:t>。代理人在报名及竞买过程中所签署的一切文件和处理与之相关的一切事务，均具备法律效力。</w:t>
      </w:r>
    </w:p>
    <w:p w14:paraId="309A3DA2">
      <w:pPr>
        <w:ind w:firstLine="630"/>
        <w:rPr>
          <w:sz w:val="28"/>
          <w:szCs w:val="28"/>
        </w:rPr>
      </w:pPr>
      <w:r>
        <w:rPr>
          <w:rFonts w:hint="eastAsia"/>
          <w:sz w:val="28"/>
          <w:szCs w:val="28"/>
        </w:rPr>
        <w:t>代理人无转委托权。特此委托。</w:t>
      </w:r>
    </w:p>
    <w:p w14:paraId="094F7AB7">
      <w:pPr>
        <w:ind w:firstLine="630"/>
        <w:rPr>
          <w:sz w:val="28"/>
          <w:szCs w:val="28"/>
          <w:u w:val="single"/>
        </w:rPr>
      </w:pPr>
      <w:r>
        <w:rPr>
          <w:rFonts w:hint="eastAsia"/>
          <w:sz w:val="28"/>
          <w:szCs w:val="28"/>
        </w:rPr>
        <w:t>代理人：</w:t>
      </w:r>
      <w:r>
        <w:rPr>
          <w:rFonts w:hint="eastAsia"/>
          <w:sz w:val="28"/>
          <w:szCs w:val="28"/>
          <w:u w:val="single"/>
        </w:rPr>
        <w:t xml:space="preserve">               </w:t>
      </w:r>
      <w:r>
        <w:rPr>
          <w:rFonts w:hint="eastAsia"/>
          <w:sz w:val="28"/>
          <w:szCs w:val="28"/>
        </w:rPr>
        <w:t xml:space="preserve">性别： </w:t>
      </w:r>
      <w:r>
        <w:rPr>
          <w:rFonts w:hint="eastAsia"/>
          <w:sz w:val="28"/>
          <w:szCs w:val="28"/>
          <w:u w:val="single"/>
        </w:rPr>
        <w:t xml:space="preserve">        </w:t>
      </w:r>
    </w:p>
    <w:p w14:paraId="47A8DEAF">
      <w:pPr>
        <w:ind w:firstLine="630"/>
        <w:rPr>
          <w:sz w:val="28"/>
          <w:szCs w:val="28"/>
          <w:u w:val="single"/>
        </w:rPr>
      </w:pPr>
      <w:r>
        <w:rPr>
          <w:rFonts w:hint="eastAsia"/>
          <w:sz w:val="28"/>
          <w:szCs w:val="28"/>
        </w:rPr>
        <w:t>身份证号码：</w:t>
      </w:r>
      <w:r>
        <w:rPr>
          <w:rFonts w:hint="eastAsia"/>
          <w:sz w:val="28"/>
          <w:szCs w:val="28"/>
          <w:u w:val="single"/>
        </w:rPr>
        <w:t xml:space="preserve">               </w:t>
      </w:r>
      <w:r>
        <w:rPr>
          <w:rFonts w:hint="eastAsia"/>
          <w:sz w:val="28"/>
          <w:szCs w:val="28"/>
        </w:rPr>
        <w:t>部门：</w:t>
      </w:r>
      <w:r>
        <w:rPr>
          <w:rFonts w:hint="eastAsia"/>
          <w:sz w:val="28"/>
          <w:szCs w:val="28"/>
          <w:u w:val="single"/>
        </w:rPr>
        <w:t xml:space="preserve">       </w:t>
      </w:r>
      <w:r>
        <w:rPr>
          <w:rFonts w:hint="eastAsia"/>
          <w:sz w:val="28"/>
          <w:szCs w:val="28"/>
        </w:rPr>
        <w:t xml:space="preserve"> 职务：</w:t>
      </w:r>
      <w:r>
        <w:rPr>
          <w:rFonts w:hint="eastAsia"/>
          <w:sz w:val="28"/>
          <w:szCs w:val="28"/>
          <w:u w:val="single"/>
        </w:rPr>
        <w:t xml:space="preserve">      </w:t>
      </w:r>
    </w:p>
    <w:p w14:paraId="07F555E9">
      <w:pPr>
        <w:ind w:firstLine="630"/>
        <w:rPr>
          <w:sz w:val="28"/>
          <w:szCs w:val="28"/>
        </w:rPr>
      </w:pPr>
      <w:r>
        <w:rPr>
          <w:rFonts w:hint="eastAsia"/>
          <w:sz w:val="28"/>
          <w:szCs w:val="28"/>
        </w:rPr>
        <w:t xml:space="preserve">联系电话：                 </w:t>
      </w:r>
    </w:p>
    <w:p w14:paraId="21291CEC">
      <w:pPr>
        <w:ind w:firstLine="630"/>
        <w:rPr>
          <w:sz w:val="28"/>
          <w:szCs w:val="28"/>
          <w:u w:val="single"/>
        </w:rPr>
      </w:pPr>
    </w:p>
    <w:p w14:paraId="5AE36B65">
      <w:pPr>
        <w:ind w:firstLine="630"/>
        <w:rPr>
          <w:sz w:val="28"/>
          <w:szCs w:val="28"/>
          <w:u w:val="single"/>
        </w:rPr>
      </w:pPr>
    </w:p>
    <w:p w14:paraId="627F6973">
      <w:pPr>
        <w:ind w:firstLine="630"/>
        <w:rPr>
          <w:sz w:val="28"/>
          <w:szCs w:val="28"/>
        </w:rPr>
      </w:pPr>
      <w:r>
        <w:rPr>
          <w:rFonts w:hint="eastAsia"/>
          <w:sz w:val="28"/>
          <w:szCs w:val="28"/>
        </w:rPr>
        <w:t>竞买人：</w:t>
      </w:r>
      <w:r>
        <w:rPr>
          <w:rFonts w:hint="eastAsia"/>
          <w:sz w:val="28"/>
          <w:szCs w:val="28"/>
          <w:u w:val="single"/>
        </w:rPr>
        <w:t xml:space="preserve">                </w:t>
      </w:r>
      <w:r>
        <w:rPr>
          <w:rFonts w:hint="eastAsia"/>
          <w:sz w:val="28"/>
          <w:szCs w:val="28"/>
        </w:rPr>
        <w:t>（盖章）</w:t>
      </w:r>
    </w:p>
    <w:p w14:paraId="0733827E">
      <w:pPr>
        <w:ind w:firstLine="630"/>
        <w:rPr>
          <w:sz w:val="28"/>
          <w:szCs w:val="28"/>
          <w:u w:val="single"/>
        </w:rPr>
      </w:pPr>
    </w:p>
    <w:p w14:paraId="0B03D245">
      <w:pPr>
        <w:ind w:firstLine="630"/>
        <w:rPr>
          <w:sz w:val="28"/>
          <w:szCs w:val="28"/>
          <w:u w:val="single"/>
        </w:rPr>
      </w:pPr>
    </w:p>
    <w:p w14:paraId="7ECF134F">
      <w:pPr>
        <w:ind w:firstLine="630"/>
        <w:rPr>
          <w:sz w:val="28"/>
          <w:szCs w:val="28"/>
          <w:u w:val="single"/>
        </w:rPr>
      </w:pPr>
      <w:r>
        <w:rPr>
          <w:rFonts w:hint="eastAsia"/>
          <w:sz w:val="28"/>
          <w:szCs w:val="28"/>
        </w:rPr>
        <w:t>法定代表人：</w:t>
      </w:r>
      <w:r>
        <w:rPr>
          <w:rFonts w:hint="eastAsia"/>
          <w:sz w:val="28"/>
          <w:szCs w:val="28"/>
          <w:u w:val="single"/>
        </w:rPr>
        <w:t xml:space="preserve">                  </w:t>
      </w:r>
      <w:r>
        <w:rPr>
          <w:rFonts w:hint="eastAsia"/>
          <w:sz w:val="28"/>
          <w:szCs w:val="28"/>
        </w:rPr>
        <w:t>（签字或盖章）</w:t>
      </w:r>
    </w:p>
    <w:p w14:paraId="331C8A8E">
      <w:pPr>
        <w:rPr>
          <w:sz w:val="28"/>
          <w:szCs w:val="28"/>
        </w:rPr>
      </w:pPr>
      <w:r>
        <w:rPr>
          <w:rFonts w:hint="eastAsia"/>
          <w:sz w:val="28"/>
          <w:szCs w:val="28"/>
        </w:rPr>
        <w:t xml:space="preserve">              </w:t>
      </w:r>
    </w:p>
    <w:p w14:paraId="64B14859">
      <w:pPr>
        <w:ind w:firstLine="2380" w:firstLineChars="850"/>
        <w:rPr>
          <w:sz w:val="28"/>
          <w:szCs w:val="28"/>
        </w:rPr>
      </w:pPr>
      <w:r>
        <w:rPr>
          <w:rFonts w:hint="eastAsia"/>
          <w:sz w:val="28"/>
          <w:szCs w:val="28"/>
        </w:rPr>
        <w:t xml:space="preserve">            日期：        年    月    日</w:t>
      </w:r>
    </w:p>
    <w:p w14:paraId="45F75970">
      <w:pPr>
        <w:widowControl/>
        <w:jc w:val="left"/>
      </w:pPr>
      <w:r>
        <w:br w:type="page"/>
      </w:r>
    </w:p>
    <w:p w14:paraId="4228A227">
      <w:pPr>
        <w:jc w:val="center"/>
        <w:rPr>
          <w:rFonts w:eastAsia="黑体"/>
          <w:sz w:val="44"/>
        </w:rPr>
      </w:pPr>
      <w:r>
        <w:rPr>
          <w:rFonts w:hint="eastAsia" w:eastAsia="黑体"/>
          <w:sz w:val="44"/>
        </w:rPr>
        <w:t>法定代表人资格证明书</w:t>
      </w:r>
    </w:p>
    <w:p w14:paraId="756A627C">
      <w:pPr>
        <w:rPr>
          <w:sz w:val="32"/>
        </w:rPr>
      </w:pPr>
    </w:p>
    <w:p w14:paraId="4D26812B">
      <w:pPr>
        <w:ind w:firstLine="560" w:firstLineChars="200"/>
        <w:rPr>
          <w:sz w:val="28"/>
          <w:szCs w:val="28"/>
          <w:u w:val="single"/>
        </w:rPr>
      </w:pPr>
      <w:r>
        <w:rPr>
          <w:rFonts w:hint="eastAsia"/>
          <w:sz w:val="28"/>
          <w:szCs w:val="28"/>
        </w:rPr>
        <w:t>单位名称：</w:t>
      </w:r>
      <w:r>
        <w:rPr>
          <w:rFonts w:hint="eastAsia"/>
          <w:sz w:val="28"/>
          <w:szCs w:val="28"/>
          <w:u w:val="single"/>
        </w:rPr>
        <w:t xml:space="preserve">                              </w:t>
      </w:r>
    </w:p>
    <w:p w14:paraId="79A6C144">
      <w:pPr>
        <w:ind w:firstLine="560" w:firstLineChars="200"/>
        <w:rPr>
          <w:sz w:val="28"/>
          <w:szCs w:val="28"/>
          <w:u w:val="single"/>
        </w:rPr>
      </w:pPr>
      <w:r>
        <w:rPr>
          <w:rFonts w:hint="eastAsia"/>
          <w:sz w:val="28"/>
          <w:szCs w:val="28"/>
        </w:rPr>
        <w:t>地    址：</w:t>
      </w:r>
      <w:r>
        <w:rPr>
          <w:rFonts w:hint="eastAsia"/>
          <w:sz w:val="28"/>
          <w:szCs w:val="28"/>
          <w:u w:val="single"/>
        </w:rPr>
        <w:t xml:space="preserve">                              </w:t>
      </w:r>
    </w:p>
    <w:p w14:paraId="060484E3">
      <w:pPr>
        <w:ind w:firstLine="560" w:firstLineChars="200"/>
        <w:rPr>
          <w:sz w:val="28"/>
          <w:szCs w:val="28"/>
          <w:u w:val="single"/>
        </w:rPr>
      </w:pPr>
      <w:r>
        <w:rPr>
          <w:rFonts w:hint="eastAsia"/>
          <w:sz w:val="28"/>
          <w:szCs w:val="28"/>
        </w:rPr>
        <w:t>姓    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年龄：</w:t>
      </w:r>
      <w:r>
        <w:rPr>
          <w:rFonts w:hint="eastAsia"/>
          <w:sz w:val="28"/>
          <w:szCs w:val="28"/>
          <w:u w:val="single"/>
        </w:rPr>
        <w:t xml:space="preserve">      </w:t>
      </w:r>
    </w:p>
    <w:p w14:paraId="04F9303D">
      <w:pPr>
        <w:ind w:firstLine="560" w:firstLineChars="200"/>
        <w:rPr>
          <w:sz w:val="28"/>
          <w:szCs w:val="28"/>
        </w:rPr>
      </w:pPr>
      <w:r>
        <w:rPr>
          <w:rFonts w:hint="eastAsia"/>
          <w:sz w:val="28"/>
          <w:szCs w:val="28"/>
        </w:rPr>
        <w:t>职    务：</w:t>
      </w:r>
      <w:r>
        <w:rPr>
          <w:rFonts w:hint="eastAsia"/>
          <w:sz w:val="28"/>
          <w:szCs w:val="28"/>
          <w:u w:val="single"/>
        </w:rPr>
        <w:t xml:space="preserve">         </w:t>
      </w:r>
      <w:r>
        <w:rPr>
          <w:rFonts w:hint="eastAsia"/>
          <w:sz w:val="28"/>
          <w:szCs w:val="28"/>
        </w:rPr>
        <w:t>身份证号码：</w:t>
      </w:r>
      <w:r>
        <w:rPr>
          <w:rFonts w:hint="eastAsia"/>
          <w:sz w:val="28"/>
          <w:szCs w:val="28"/>
          <w:u w:val="single"/>
        </w:rPr>
        <w:t xml:space="preserve">                 </w:t>
      </w:r>
    </w:p>
    <w:p w14:paraId="654C181D">
      <w:pPr>
        <w:rPr>
          <w:sz w:val="28"/>
          <w:szCs w:val="28"/>
        </w:rPr>
      </w:pPr>
      <w:r>
        <w:rPr>
          <w:rFonts w:hint="eastAsia"/>
          <w:sz w:val="28"/>
          <w:szCs w:val="28"/>
        </w:rPr>
        <w:t>系</w:t>
      </w:r>
      <w:r>
        <w:rPr>
          <w:rFonts w:hint="eastAsia"/>
          <w:sz w:val="28"/>
          <w:szCs w:val="28"/>
          <w:u w:val="single"/>
        </w:rPr>
        <w:t xml:space="preserve">                                  </w:t>
      </w:r>
      <w:r>
        <w:rPr>
          <w:rFonts w:hint="eastAsia"/>
          <w:sz w:val="28"/>
          <w:szCs w:val="28"/>
        </w:rPr>
        <w:t>（竞买人）的法定代表人。</w:t>
      </w:r>
    </w:p>
    <w:p w14:paraId="26C5FE0D">
      <w:pPr>
        <w:rPr>
          <w:sz w:val="28"/>
          <w:szCs w:val="28"/>
        </w:rPr>
      </w:pPr>
    </w:p>
    <w:p w14:paraId="46F27E81">
      <w:pPr>
        <w:rPr>
          <w:sz w:val="28"/>
          <w:szCs w:val="28"/>
        </w:rPr>
      </w:pPr>
    </w:p>
    <w:p w14:paraId="162DEF3B">
      <w:pPr>
        <w:ind w:firstLine="1960" w:firstLineChars="700"/>
        <w:rPr>
          <w:sz w:val="28"/>
          <w:szCs w:val="28"/>
        </w:rPr>
      </w:pPr>
      <w:r>
        <w:rPr>
          <w:rFonts w:hint="eastAsia"/>
          <w:sz w:val="28"/>
          <w:szCs w:val="28"/>
        </w:rPr>
        <w:t xml:space="preserve">          竞买人：</w:t>
      </w:r>
      <w:r>
        <w:rPr>
          <w:rFonts w:hint="eastAsia"/>
          <w:sz w:val="28"/>
          <w:szCs w:val="28"/>
          <w:u w:val="single"/>
        </w:rPr>
        <w:t xml:space="preserve">              </w:t>
      </w:r>
      <w:r>
        <w:rPr>
          <w:rFonts w:hint="eastAsia"/>
          <w:sz w:val="28"/>
          <w:szCs w:val="28"/>
        </w:rPr>
        <w:t>（盖章）</w:t>
      </w:r>
    </w:p>
    <w:p w14:paraId="4F353BDE">
      <w:pPr>
        <w:ind w:firstLine="1960" w:firstLineChars="700"/>
        <w:rPr>
          <w:sz w:val="32"/>
        </w:rPr>
      </w:pPr>
      <w:r>
        <w:rPr>
          <w:rFonts w:hint="eastAsia"/>
          <w:sz w:val="28"/>
          <w:szCs w:val="28"/>
        </w:rPr>
        <w:t xml:space="preserve">            日期：        年    月   日</w:t>
      </w:r>
    </w:p>
    <w:p w14:paraId="296AE656">
      <w:pPr>
        <w:widowControl/>
        <w:jc w:val="left"/>
      </w:pPr>
      <w:r>
        <w:br w:type="page"/>
      </w:r>
    </w:p>
    <w:p w14:paraId="7AF996BC">
      <w:pPr>
        <w:spacing w:line="660" w:lineRule="exact"/>
        <w:jc w:val="center"/>
        <w:rPr>
          <w:rFonts w:ascii="宋体" w:hAnsi="宋体"/>
          <w:b/>
          <w:bCs/>
          <w:sz w:val="48"/>
          <w:szCs w:val="48"/>
        </w:rPr>
      </w:pPr>
      <w:r>
        <w:rPr>
          <w:rFonts w:hint="eastAsia" w:ascii="宋体" w:hAnsi="宋体"/>
          <w:b/>
          <w:bCs/>
          <w:sz w:val="48"/>
          <w:szCs w:val="48"/>
        </w:rPr>
        <w:t>成 交 确 认 书</w:t>
      </w:r>
    </w:p>
    <w:p w14:paraId="34173366">
      <w:pPr>
        <w:spacing w:line="660" w:lineRule="exact"/>
        <w:jc w:val="center"/>
        <w:rPr>
          <w:rFonts w:ascii="宋体" w:hAnsi="宋体"/>
          <w:b/>
          <w:bCs/>
          <w:sz w:val="44"/>
        </w:rPr>
      </w:pPr>
    </w:p>
    <w:p w14:paraId="76661C49">
      <w:pPr>
        <w:spacing w:line="660" w:lineRule="exact"/>
        <w:jc w:val="center"/>
        <w:rPr>
          <w:rFonts w:ascii="宋体" w:hAnsi="宋体"/>
          <w:b/>
          <w:bCs/>
          <w:szCs w:val="21"/>
        </w:rPr>
      </w:pPr>
    </w:p>
    <w:p w14:paraId="367C3463">
      <w:pPr>
        <w:spacing w:line="660" w:lineRule="exact"/>
        <w:ind w:firstLine="600"/>
        <w:jc w:val="left"/>
        <w:rPr>
          <w:rFonts w:ascii="宋体" w:hAnsi="宋体"/>
          <w:b/>
          <w:bCs/>
          <w:sz w:val="28"/>
          <w:szCs w:val="28"/>
        </w:rPr>
      </w:pPr>
      <w:r>
        <w:rPr>
          <w:rFonts w:hint="eastAsia" w:ascii="宋体" w:hAnsi="宋体"/>
          <w:sz w:val="28"/>
          <w:szCs w:val="28"/>
        </w:rPr>
        <w:t>竞买人</w:t>
      </w:r>
      <w:r>
        <w:rPr>
          <w:rFonts w:hint="eastAsia" w:ascii="宋体" w:hAnsi="宋体"/>
          <w:sz w:val="28"/>
          <w:szCs w:val="28"/>
          <w:u w:val="single"/>
        </w:rPr>
        <w:t xml:space="preserve">           </w:t>
      </w:r>
      <w:r>
        <w:rPr>
          <w:rFonts w:hint="eastAsia" w:ascii="宋体" w:hAnsi="宋体"/>
          <w:sz w:val="28"/>
          <w:szCs w:val="28"/>
        </w:rPr>
        <w:t>于</w:t>
      </w:r>
      <w:r>
        <w:rPr>
          <w:rFonts w:hint="eastAsia" w:ascii="宋体" w:hAnsi="宋体"/>
          <w:sz w:val="28"/>
          <w:szCs w:val="28"/>
          <w:u w:val="single"/>
        </w:rPr>
        <w:t>2026</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日在权益云交易平台举行的多次报价</w:t>
      </w:r>
      <w:r>
        <w:rPr>
          <w:rFonts w:hint="eastAsia" w:ascii="宋体" w:hAnsi="宋体"/>
          <w:bCs/>
          <w:sz w:val="28"/>
          <w:szCs w:val="28"/>
        </w:rPr>
        <w:t>（项目编号：</w:t>
      </w:r>
      <w:r>
        <w:rPr>
          <w:rFonts w:hint="eastAsia" w:ascii="宋体" w:hAnsi="宋体"/>
          <w:bCs/>
          <w:spacing w:val="-20"/>
          <w:sz w:val="28"/>
          <w:szCs w:val="28"/>
        </w:rPr>
        <w:t>ZR2026-30</w:t>
      </w:r>
      <w:r>
        <w:rPr>
          <w:rFonts w:hint="eastAsia" w:ascii="宋体" w:hAnsi="宋体"/>
          <w:bCs/>
          <w:sz w:val="28"/>
          <w:szCs w:val="28"/>
        </w:rPr>
        <w:t>）</w:t>
      </w:r>
      <w:r>
        <w:rPr>
          <w:rFonts w:hint="eastAsia" w:ascii="宋体" w:hAnsi="宋体"/>
          <w:sz w:val="28"/>
          <w:szCs w:val="28"/>
        </w:rPr>
        <w:t>以人民币（大写）</w:t>
      </w:r>
      <w:r>
        <w:rPr>
          <w:rFonts w:hint="eastAsia" w:ascii="宋体" w:hAnsi="宋体"/>
          <w:sz w:val="28"/>
          <w:szCs w:val="28"/>
          <w:u w:val="single"/>
        </w:rPr>
        <w:t xml:space="preserve">         </w:t>
      </w:r>
      <w:r>
        <w:rPr>
          <w:rFonts w:hint="eastAsia" w:ascii="宋体" w:hAnsi="宋体"/>
          <w:sz w:val="28"/>
          <w:szCs w:val="28"/>
        </w:rPr>
        <w:t>元（小写）￥</w:t>
      </w:r>
      <w:r>
        <w:rPr>
          <w:rFonts w:hint="eastAsia" w:ascii="宋体" w:hAnsi="宋体"/>
          <w:sz w:val="28"/>
          <w:szCs w:val="28"/>
          <w:u w:val="single"/>
        </w:rPr>
        <w:t xml:space="preserve">       </w:t>
      </w:r>
      <w:r>
        <w:rPr>
          <w:rFonts w:hint="eastAsia" w:ascii="宋体" w:hAnsi="宋体"/>
          <w:sz w:val="28"/>
          <w:szCs w:val="28"/>
        </w:rPr>
        <w:t>元竞得</w:t>
      </w:r>
      <w:r>
        <w:rPr>
          <w:rFonts w:hint="eastAsia"/>
          <w:sz w:val="28"/>
          <w:szCs w:val="28"/>
          <w:u w:val="single"/>
        </w:rPr>
        <w:t>龙岩矿业发展有限公司所持有的龙岩北荣矿业有限责任公司19%股权</w:t>
      </w:r>
      <w:r>
        <w:rPr>
          <w:rFonts w:hint="eastAsia" w:ascii="宋体" w:hAnsi="宋体"/>
          <w:sz w:val="28"/>
          <w:szCs w:val="28"/>
        </w:rPr>
        <w:t>标的，即为该转让标的的受让方，特此确认。</w:t>
      </w:r>
    </w:p>
    <w:p w14:paraId="2EC9AB3D">
      <w:pPr>
        <w:spacing w:line="660" w:lineRule="exact"/>
        <w:ind w:firstLine="554" w:firstLineChars="197"/>
        <w:rPr>
          <w:rFonts w:ascii="宋体" w:hAnsi="宋体"/>
          <w:b/>
          <w:sz w:val="28"/>
          <w:szCs w:val="28"/>
          <w:u w:val="single"/>
        </w:rPr>
      </w:pPr>
      <w:r>
        <w:rPr>
          <w:rFonts w:hint="eastAsia" w:ascii="宋体" w:hAnsi="宋体"/>
          <w:b/>
          <w:sz w:val="28"/>
          <w:szCs w:val="28"/>
        </w:rPr>
        <w:t>特别提示：</w:t>
      </w:r>
      <w:r>
        <w:rPr>
          <w:rFonts w:hint="eastAsia" w:ascii="宋体" w:hAnsi="宋体"/>
          <w:b/>
          <w:sz w:val="28"/>
          <w:szCs w:val="28"/>
          <w:u w:val="single"/>
        </w:rPr>
        <w:t>根据竞买规则，受让方必须按竞价转让文件的相关规定缴交成交款，否则交易保证金不予以退还受让方。</w:t>
      </w:r>
    </w:p>
    <w:p w14:paraId="162EAFC6">
      <w:pPr>
        <w:spacing w:line="600" w:lineRule="exact"/>
        <w:ind w:firstLine="672" w:firstLineChars="197"/>
        <w:rPr>
          <w:rFonts w:ascii="宋体" w:hAnsi="宋体"/>
          <w:spacing w:val="20"/>
          <w:sz w:val="30"/>
          <w:szCs w:val="30"/>
        </w:rPr>
      </w:pPr>
      <w:r>
        <w:rPr>
          <w:rFonts w:hint="eastAsia" w:ascii="宋体" w:hAnsi="宋体"/>
          <w:b/>
          <w:bCs/>
          <w:spacing w:val="20"/>
          <w:sz w:val="30"/>
          <w:szCs w:val="30"/>
        </w:rPr>
        <w:t>(交易服务费：</w:t>
      </w:r>
      <w:r>
        <w:rPr>
          <w:rFonts w:hint="eastAsia" w:ascii="宋体" w:hAnsi="宋体"/>
          <w:b/>
          <w:bCs/>
          <w:spacing w:val="20"/>
          <w:sz w:val="30"/>
          <w:szCs w:val="30"/>
          <w:u w:val="single"/>
        </w:rPr>
        <w:t>¥  .00</w:t>
      </w:r>
      <w:r>
        <w:rPr>
          <w:rFonts w:hint="eastAsia" w:ascii="宋体" w:hAnsi="宋体"/>
          <w:b/>
          <w:bCs/>
          <w:spacing w:val="20"/>
          <w:sz w:val="30"/>
          <w:szCs w:val="30"/>
        </w:rPr>
        <w:t>)</w:t>
      </w:r>
    </w:p>
    <w:p w14:paraId="2AF9223B">
      <w:pPr>
        <w:spacing w:line="660" w:lineRule="exact"/>
        <w:ind w:firstLine="630"/>
        <w:jc w:val="left"/>
        <w:rPr>
          <w:rFonts w:ascii="宋体" w:hAnsi="宋体"/>
          <w:sz w:val="28"/>
          <w:szCs w:val="28"/>
        </w:rPr>
      </w:pPr>
      <w:r>
        <w:rPr>
          <w:rFonts w:hint="eastAsia" w:ascii="宋体" w:hAnsi="宋体"/>
          <w:sz w:val="28"/>
          <w:szCs w:val="28"/>
        </w:rPr>
        <w:t>本确认书壹式叁份，受让方、委托人、龙岩市产权交易中心有限公司各执壹份。</w:t>
      </w:r>
    </w:p>
    <w:p w14:paraId="691A3561">
      <w:pPr>
        <w:spacing w:line="660" w:lineRule="exact"/>
        <w:jc w:val="left"/>
        <w:rPr>
          <w:rFonts w:ascii="宋体" w:hAnsi="宋体"/>
          <w:sz w:val="28"/>
          <w:szCs w:val="28"/>
        </w:rPr>
      </w:pPr>
      <w:r>
        <w:rPr>
          <w:rFonts w:hint="eastAsia" w:ascii="宋体" w:hAnsi="宋体"/>
          <w:sz w:val="28"/>
          <w:szCs w:val="28"/>
        </w:rPr>
        <w:t>受让方签章确认：</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产权交易机构公章确认：</w:t>
      </w:r>
    </w:p>
    <w:p w14:paraId="57F04070">
      <w:pPr>
        <w:spacing w:line="660" w:lineRule="exact"/>
        <w:jc w:val="left"/>
        <w:rPr>
          <w:rFonts w:ascii="宋体" w:hAnsi="宋体"/>
          <w:sz w:val="28"/>
          <w:szCs w:val="28"/>
        </w:rPr>
      </w:pPr>
    </w:p>
    <w:p w14:paraId="0489AA37">
      <w:pPr>
        <w:spacing w:line="660" w:lineRule="exact"/>
        <w:jc w:val="left"/>
        <w:rPr>
          <w:rFonts w:ascii="宋体" w:hAnsi="宋体"/>
          <w:sz w:val="28"/>
          <w:szCs w:val="28"/>
        </w:rPr>
      </w:pPr>
      <w:r>
        <w:rPr>
          <w:rFonts w:hint="eastAsia" w:ascii="宋体" w:hAnsi="宋体"/>
          <w:sz w:val="28"/>
          <w:szCs w:val="28"/>
        </w:rPr>
        <w:t xml:space="preserve">代理人：             </w:t>
      </w:r>
    </w:p>
    <w:p w14:paraId="44D70C1D">
      <w:pPr>
        <w:spacing w:line="660" w:lineRule="exact"/>
        <w:jc w:val="left"/>
        <w:rPr>
          <w:rFonts w:ascii="宋体" w:hAnsi="宋体"/>
          <w:sz w:val="28"/>
          <w:szCs w:val="28"/>
        </w:rPr>
      </w:pPr>
    </w:p>
    <w:p w14:paraId="78D7FB81">
      <w:pPr>
        <w:spacing w:line="660" w:lineRule="exact"/>
        <w:jc w:val="left"/>
        <w:rPr>
          <w:rFonts w:ascii="宋体" w:hAnsi="宋体"/>
          <w:sz w:val="28"/>
          <w:szCs w:val="28"/>
        </w:rPr>
      </w:pPr>
      <w:r>
        <w:rPr>
          <w:rFonts w:hint="eastAsia" w:ascii="宋体" w:hAnsi="宋体"/>
          <w:sz w:val="28"/>
          <w:szCs w:val="28"/>
        </w:rPr>
        <w:t xml:space="preserve">电话：                        </w:t>
      </w:r>
    </w:p>
    <w:p w14:paraId="79BA489D">
      <w:pPr>
        <w:spacing w:line="660" w:lineRule="exact"/>
        <w:ind w:firstLine="140" w:firstLineChars="50"/>
        <w:jc w:val="left"/>
        <w:rPr>
          <w:rFonts w:ascii="宋体" w:hAnsi="宋体"/>
          <w:sz w:val="28"/>
          <w:szCs w:val="28"/>
        </w:rPr>
      </w:pPr>
      <w:r>
        <w:rPr>
          <w:rFonts w:hint="eastAsia" w:ascii="宋体" w:hAnsi="宋体"/>
          <w:sz w:val="28"/>
          <w:szCs w:val="28"/>
        </w:rPr>
        <w:t xml:space="preserve">  </w:t>
      </w:r>
    </w:p>
    <w:p w14:paraId="3BB49484">
      <w:pPr>
        <w:spacing w:line="660" w:lineRule="exact"/>
        <w:jc w:val="left"/>
        <w:rPr>
          <w:rFonts w:ascii="宋体" w:hAnsi="宋体"/>
          <w:sz w:val="28"/>
          <w:szCs w:val="28"/>
        </w:rPr>
      </w:pPr>
    </w:p>
    <w:p w14:paraId="0A18D5AA">
      <w:pPr>
        <w:spacing w:line="660" w:lineRule="exact"/>
        <w:jc w:val="left"/>
        <w:rPr>
          <w:rFonts w:ascii="宋体" w:hAnsi="宋体"/>
          <w:sz w:val="28"/>
          <w:szCs w:val="28"/>
        </w:rPr>
      </w:pPr>
      <w:r>
        <w:rPr>
          <w:rFonts w:hint="eastAsia" w:ascii="宋体" w:hAnsi="宋体"/>
          <w:sz w:val="28"/>
          <w:szCs w:val="28"/>
        </w:rPr>
        <w:t xml:space="preserve">        年   月   日                   年   月   日</w:t>
      </w:r>
    </w:p>
    <w:sectPr>
      <w:footerReference r:id="rId5" w:type="default"/>
      <w:pgSz w:w="11906" w:h="16838"/>
      <w:pgMar w:top="1440" w:right="1797" w:bottom="1440" w:left="179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宋体"/>
    <w:panose1 w:val="00000000000000000000"/>
    <w:charset w:val="86"/>
    <w:family w:val="modern"/>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03F64">
    <w:pPr>
      <w:pStyle w:val="8"/>
      <w:jc w:val="center"/>
    </w:pPr>
    <w:r>
      <w:fldChar w:fldCharType="begin"/>
    </w:r>
    <w:r>
      <w:instrText xml:space="preserve"> PAGE   \* MERGEFORMAT </w:instrText>
    </w:r>
    <w:r>
      <w:fldChar w:fldCharType="separate"/>
    </w:r>
    <w:r>
      <w:rPr>
        <w:lang w:val="zh-CN"/>
      </w:rPr>
      <w:t>8</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D76AB">
    <w:pPr>
      <w:pStyle w:val="9"/>
      <w:pBdr>
        <w:bottom w:val="single" w:color="7F7F7F" w:themeColor="background1" w:themeShade="80" w:sz="6" w:space="1"/>
      </w:pBdr>
      <w:jc w:val="right"/>
      <w:rPr>
        <w:color w:val="7E7E7E" w:themeColor="text1" w:themeTint="80"/>
      </w:rPr>
    </w:pPr>
    <w:r>
      <w:rPr>
        <w:color w:val="7E7E7E" w:themeColor="text1" w:themeTint="80"/>
      </w:rPr>
      <w:ptab w:relativeTo="margin" w:alignment="right" w:leader="none"/>
    </w:r>
    <w:r>
      <w:rPr>
        <w:rFonts w:hint="eastAsia"/>
        <w:color w:val="7E7E7E" w:themeColor="text1" w:themeTint="80"/>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2B3A7">
    <w:pPr>
      <w:pStyle w:val="9"/>
      <w:jc w:val="left"/>
      <w:rPr>
        <w:color w:val="7E7E7E" w:themeColor="text1" w:themeTint="80"/>
      </w:rPr>
    </w:pPr>
    <w:r>
      <w:rPr>
        <w:color w:val="7E7E7E" w:themeColor="text1" w:themeTint="80"/>
      </w:rPr>
      <w:ptab w:relativeTo="margin" w:alignment="left" w:leader="none"/>
    </w:r>
    <w:r>
      <w:rPr>
        <w:rFonts w:hint="eastAsia"/>
        <w:color w:val="7E7E7E" w:themeColor="text1" w:themeTint="80"/>
      </w:rPr>
      <w:t>竞价文件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YzAyMDFkYjBhOTQ3YjBjOTc2MjE1MGQ1NTg2YTVlYzcifQ=="/>
    <w:docVar w:name="KSO_WPS_MARK_KEY" w:val="522bcd09-296c-4b45-85a2-ec73c8a857b3"/>
  </w:docVars>
  <w:rsids>
    <w:rsidRoot w:val="00AB4F63"/>
    <w:rsid w:val="0001015B"/>
    <w:rsid w:val="00060606"/>
    <w:rsid w:val="000A129C"/>
    <w:rsid w:val="000A40B5"/>
    <w:rsid w:val="000A567F"/>
    <w:rsid w:val="000C632D"/>
    <w:rsid w:val="000E5EA7"/>
    <w:rsid w:val="000F6F63"/>
    <w:rsid w:val="000F7D38"/>
    <w:rsid w:val="001052FB"/>
    <w:rsid w:val="001135EE"/>
    <w:rsid w:val="00114695"/>
    <w:rsid w:val="0011754D"/>
    <w:rsid w:val="00144897"/>
    <w:rsid w:val="00185E76"/>
    <w:rsid w:val="001A507B"/>
    <w:rsid w:val="001D26C8"/>
    <w:rsid w:val="001E3137"/>
    <w:rsid w:val="001E49B3"/>
    <w:rsid w:val="002034F9"/>
    <w:rsid w:val="00207891"/>
    <w:rsid w:val="00216663"/>
    <w:rsid w:val="00222F95"/>
    <w:rsid w:val="002346D1"/>
    <w:rsid w:val="00237473"/>
    <w:rsid w:val="002713F0"/>
    <w:rsid w:val="00286BDA"/>
    <w:rsid w:val="002A4B99"/>
    <w:rsid w:val="002A5F4F"/>
    <w:rsid w:val="00327382"/>
    <w:rsid w:val="00334F1A"/>
    <w:rsid w:val="003553C7"/>
    <w:rsid w:val="0037062C"/>
    <w:rsid w:val="00370B37"/>
    <w:rsid w:val="003A1AFA"/>
    <w:rsid w:val="003B295C"/>
    <w:rsid w:val="003B2C4B"/>
    <w:rsid w:val="003D6B09"/>
    <w:rsid w:val="003E05C2"/>
    <w:rsid w:val="003E1BC5"/>
    <w:rsid w:val="003E2DAE"/>
    <w:rsid w:val="00403530"/>
    <w:rsid w:val="00432215"/>
    <w:rsid w:val="00432D5C"/>
    <w:rsid w:val="00443711"/>
    <w:rsid w:val="00445F5B"/>
    <w:rsid w:val="00447BD8"/>
    <w:rsid w:val="00457818"/>
    <w:rsid w:val="004948CA"/>
    <w:rsid w:val="004A0A07"/>
    <w:rsid w:val="004A16EA"/>
    <w:rsid w:val="004B21E6"/>
    <w:rsid w:val="004B799A"/>
    <w:rsid w:val="004C180B"/>
    <w:rsid w:val="004C26F0"/>
    <w:rsid w:val="004E2172"/>
    <w:rsid w:val="004F4CE8"/>
    <w:rsid w:val="005136D5"/>
    <w:rsid w:val="00530CEA"/>
    <w:rsid w:val="00545456"/>
    <w:rsid w:val="005460DA"/>
    <w:rsid w:val="00582CA9"/>
    <w:rsid w:val="00584F5B"/>
    <w:rsid w:val="00585FE9"/>
    <w:rsid w:val="00587A50"/>
    <w:rsid w:val="00590477"/>
    <w:rsid w:val="005909DA"/>
    <w:rsid w:val="0059621B"/>
    <w:rsid w:val="005A0971"/>
    <w:rsid w:val="005C1F8C"/>
    <w:rsid w:val="005F342B"/>
    <w:rsid w:val="005F63B0"/>
    <w:rsid w:val="005F7F3C"/>
    <w:rsid w:val="00600EA5"/>
    <w:rsid w:val="00617B3A"/>
    <w:rsid w:val="0063211A"/>
    <w:rsid w:val="0063238D"/>
    <w:rsid w:val="006328CE"/>
    <w:rsid w:val="00635D9B"/>
    <w:rsid w:val="00637306"/>
    <w:rsid w:val="00647238"/>
    <w:rsid w:val="00654F24"/>
    <w:rsid w:val="00657248"/>
    <w:rsid w:val="006665C5"/>
    <w:rsid w:val="0069558E"/>
    <w:rsid w:val="006C0B09"/>
    <w:rsid w:val="006D1D56"/>
    <w:rsid w:val="006E1830"/>
    <w:rsid w:val="00700389"/>
    <w:rsid w:val="00734BA9"/>
    <w:rsid w:val="007517B8"/>
    <w:rsid w:val="00760969"/>
    <w:rsid w:val="007861EB"/>
    <w:rsid w:val="007A13AE"/>
    <w:rsid w:val="007A1B21"/>
    <w:rsid w:val="00813C7D"/>
    <w:rsid w:val="00823AA3"/>
    <w:rsid w:val="00830CFB"/>
    <w:rsid w:val="00835DBF"/>
    <w:rsid w:val="0084769D"/>
    <w:rsid w:val="0085304A"/>
    <w:rsid w:val="00885ABB"/>
    <w:rsid w:val="00887FA0"/>
    <w:rsid w:val="008A62ED"/>
    <w:rsid w:val="008C29CF"/>
    <w:rsid w:val="008C314D"/>
    <w:rsid w:val="008D3330"/>
    <w:rsid w:val="008D6E89"/>
    <w:rsid w:val="008E282F"/>
    <w:rsid w:val="008F1D99"/>
    <w:rsid w:val="00901900"/>
    <w:rsid w:val="00901A5D"/>
    <w:rsid w:val="00913F6B"/>
    <w:rsid w:val="00916670"/>
    <w:rsid w:val="00917177"/>
    <w:rsid w:val="0092229B"/>
    <w:rsid w:val="00922D50"/>
    <w:rsid w:val="009319E5"/>
    <w:rsid w:val="00936305"/>
    <w:rsid w:val="00936573"/>
    <w:rsid w:val="00966362"/>
    <w:rsid w:val="00970392"/>
    <w:rsid w:val="0098357D"/>
    <w:rsid w:val="0098416F"/>
    <w:rsid w:val="00986A41"/>
    <w:rsid w:val="00987828"/>
    <w:rsid w:val="00997EFB"/>
    <w:rsid w:val="009A1A32"/>
    <w:rsid w:val="009A39A2"/>
    <w:rsid w:val="009A6315"/>
    <w:rsid w:val="009C225E"/>
    <w:rsid w:val="009E14FA"/>
    <w:rsid w:val="009E3498"/>
    <w:rsid w:val="009E6BC6"/>
    <w:rsid w:val="009E7F0B"/>
    <w:rsid w:val="00A076DF"/>
    <w:rsid w:val="00A14988"/>
    <w:rsid w:val="00A24453"/>
    <w:rsid w:val="00A27B6D"/>
    <w:rsid w:val="00A465E3"/>
    <w:rsid w:val="00A706E4"/>
    <w:rsid w:val="00A74504"/>
    <w:rsid w:val="00A825C6"/>
    <w:rsid w:val="00A86803"/>
    <w:rsid w:val="00A92C18"/>
    <w:rsid w:val="00AA2852"/>
    <w:rsid w:val="00AB02E5"/>
    <w:rsid w:val="00AB4F63"/>
    <w:rsid w:val="00AB59FD"/>
    <w:rsid w:val="00AC74D0"/>
    <w:rsid w:val="00AE2654"/>
    <w:rsid w:val="00AF46E9"/>
    <w:rsid w:val="00AF4D88"/>
    <w:rsid w:val="00B03B01"/>
    <w:rsid w:val="00B149B7"/>
    <w:rsid w:val="00B315BD"/>
    <w:rsid w:val="00B327B3"/>
    <w:rsid w:val="00B51E53"/>
    <w:rsid w:val="00B54609"/>
    <w:rsid w:val="00B74C5E"/>
    <w:rsid w:val="00B96249"/>
    <w:rsid w:val="00BA1983"/>
    <w:rsid w:val="00BB509B"/>
    <w:rsid w:val="00BC58F6"/>
    <w:rsid w:val="00BC71C4"/>
    <w:rsid w:val="00BD6177"/>
    <w:rsid w:val="00BE101B"/>
    <w:rsid w:val="00BE4105"/>
    <w:rsid w:val="00BF19E3"/>
    <w:rsid w:val="00BF68D8"/>
    <w:rsid w:val="00C16223"/>
    <w:rsid w:val="00C16901"/>
    <w:rsid w:val="00C32937"/>
    <w:rsid w:val="00C56D90"/>
    <w:rsid w:val="00C63A96"/>
    <w:rsid w:val="00C77A50"/>
    <w:rsid w:val="00C940CB"/>
    <w:rsid w:val="00C944CE"/>
    <w:rsid w:val="00CC179D"/>
    <w:rsid w:val="00CC54A7"/>
    <w:rsid w:val="00CD5ED6"/>
    <w:rsid w:val="00D00B7A"/>
    <w:rsid w:val="00D02400"/>
    <w:rsid w:val="00D12BBA"/>
    <w:rsid w:val="00D31B1E"/>
    <w:rsid w:val="00D41D19"/>
    <w:rsid w:val="00D44273"/>
    <w:rsid w:val="00D478C3"/>
    <w:rsid w:val="00D70E96"/>
    <w:rsid w:val="00D72027"/>
    <w:rsid w:val="00D92A18"/>
    <w:rsid w:val="00DA1DE2"/>
    <w:rsid w:val="00DB32C2"/>
    <w:rsid w:val="00DC1677"/>
    <w:rsid w:val="00DD428D"/>
    <w:rsid w:val="00DF1A7D"/>
    <w:rsid w:val="00DF39F9"/>
    <w:rsid w:val="00E1002A"/>
    <w:rsid w:val="00E233B4"/>
    <w:rsid w:val="00E60BA0"/>
    <w:rsid w:val="00E738B3"/>
    <w:rsid w:val="00E823F1"/>
    <w:rsid w:val="00EA6A4C"/>
    <w:rsid w:val="00EB5FAC"/>
    <w:rsid w:val="00EB609A"/>
    <w:rsid w:val="00EF2BED"/>
    <w:rsid w:val="00F13037"/>
    <w:rsid w:val="00F177DA"/>
    <w:rsid w:val="00F21CAE"/>
    <w:rsid w:val="00F334E1"/>
    <w:rsid w:val="00F40445"/>
    <w:rsid w:val="00F57386"/>
    <w:rsid w:val="00F64DE1"/>
    <w:rsid w:val="00F73B0E"/>
    <w:rsid w:val="00F753D5"/>
    <w:rsid w:val="00F75E6E"/>
    <w:rsid w:val="00F94624"/>
    <w:rsid w:val="00F94D09"/>
    <w:rsid w:val="00F97D48"/>
    <w:rsid w:val="00FE00A1"/>
    <w:rsid w:val="00FF0A5E"/>
    <w:rsid w:val="00FF686F"/>
    <w:rsid w:val="01B31B59"/>
    <w:rsid w:val="03380900"/>
    <w:rsid w:val="04421A92"/>
    <w:rsid w:val="0462195F"/>
    <w:rsid w:val="049E42B9"/>
    <w:rsid w:val="051320F7"/>
    <w:rsid w:val="05464BE9"/>
    <w:rsid w:val="057E2AAC"/>
    <w:rsid w:val="059E53B4"/>
    <w:rsid w:val="066D17C6"/>
    <w:rsid w:val="06CE2D6F"/>
    <w:rsid w:val="07540722"/>
    <w:rsid w:val="080D3989"/>
    <w:rsid w:val="08315A89"/>
    <w:rsid w:val="08A12D4B"/>
    <w:rsid w:val="08CC3BEE"/>
    <w:rsid w:val="08DA3DB5"/>
    <w:rsid w:val="092D511C"/>
    <w:rsid w:val="09624235"/>
    <w:rsid w:val="097B2228"/>
    <w:rsid w:val="09E714B7"/>
    <w:rsid w:val="0B187464"/>
    <w:rsid w:val="0B350ACE"/>
    <w:rsid w:val="0BF817F5"/>
    <w:rsid w:val="0C427568"/>
    <w:rsid w:val="0CDA3DC1"/>
    <w:rsid w:val="0D3533F1"/>
    <w:rsid w:val="0D782598"/>
    <w:rsid w:val="0D7B6333"/>
    <w:rsid w:val="0D8F4CDE"/>
    <w:rsid w:val="0E0D0F60"/>
    <w:rsid w:val="0E4D7071"/>
    <w:rsid w:val="0EE65821"/>
    <w:rsid w:val="10D064F7"/>
    <w:rsid w:val="10F60E96"/>
    <w:rsid w:val="112238BC"/>
    <w:rsid w:val="11E51403"/>
    <w:rsid w:val="12E06760"/>
    <w:rsid w:val="14A8098A"/>
    <w:rsid w:val="14ED0FE0"/>
    <w:rsid w:val="1537529F"/>
    <w:rsid w:val="153B7442"/>
    <w:rsid w:val="1544502A"/>
    <w:rsid w:val="15CE471A"/>
    <w:rsid w:val="16296562"/>
    <w:rsid w:val="172C2320"/>
    <w:rsid w:val="18694DE6"/>
    <w:rsid w:val="18DF2189"/>
    <w:rsid w:val="190B04B8"/>
    <w:rsid w:val="195E172C"/>
    <w:rsid w:val="197E3E34"/>
    <w:rsid w:val="1AA027F9"/>
    <w:rsid w:val="1ABE3FB1"/>
    <w:rsid w:val="1AF2536A"/>
    <w:rsid w:val="1B7B7210"/>
    <w:rsid w:val="1BB51FA4"/>
    <w:rsid w:val="1CB3405B"/>
    <w:rsid w:val="1CD46B74"/>
    <w:rsid w:val="1D6005EF"/>
    <w:rsid w:val="1DEC6218"/>
    <w:rsid w:val="1DF15F19"/>
    <w:rsid w:val="1E1A6E81"/>
    <w:rsid w:val="1E9B4986"/>
    <w:rsid w:val="1EE16D44"/>
    <w:rsid w:val="1F541CA6"/>
    <w:rsid w:val="205809FE"/>
    <w:rsid w:val="20794CCF"/>
    <w:rsid w:val="208A4138"/>
    <w:rsid w:val="20910225"/>
    <w:rsid w:val="20A92B8C"/>
    <w:rsid w:val="21E93A17"/>
    <w:rsid w:val="23564C11"/>
    <w:rsid w:val="24675D25"/>
    <w:rsid w:val="248B2431"/>
    <w:rsid w:val="248E30E5"/>
    <w:rsid w:val="248E4E0D"/>
    <w:rsid w:val="249A3E2E"/>
    <w:rsid w:val="24E226FC"/>
    <w:rsid w:val="26005D25"/>
    <w:rsid w:val="26A61F12"/>
    <w:rsid w:val="26E92455"/>
    <w:rsid w:val="26F72E66"/>
    <w:rsid w:val="27866F81"/>
    <w:rsid w:val="27D57129"/>
    <w:rsid w:val="27DE1A21"/>
    <w:rsid w:val="281D72BE"/>
    <w:rsid w:val="28360C89"/>
    <w:rsid w:val="283E0EF2"/>
    <w:rsid w:val="2861665C"/>
    <w:rsid w:val="28DD6CFB"/>
    <w:rsid w:val="29996E1C"/>
    <w:rsid w:val="2A0361B9"/>
    <w:rsid w:val="2A1E78BA"/>
    <w:rsid w:val="2AFE7FD2"/>
    <w:rsid w:val="2B3326A6"/>
    <w:rsid w:val="2B504ECD"/>
    <w:rsid w:val="2B8173D6"/>
    <w:rsid w:val="2C4445BA"/>
    <w:rsid w:val="2CF36F44"/>
    <w:rsid w:val="2D5F3D28"/>
    <w:rsid w:val="2D95625C"/>
    <w:rsid w:val="2DA33E7F"/>
    <w:rsid w:val="2E3B5DD8"/>
    <w:rsid w:val="2EA94B1B"/>
    <w:rsid w:val="2EF12475"/>
    <w:rsid w:val="2F737B61"/>
    <w:rsid w:val="30E965ED"/>
    <w:rsid w:val="31835F54"/>
    <w:rsid w:val="319D50AF"/>
    <w:rsid w:val="32646A80"/>
    <w:rsid w:val="32E25AA4"/>
    <w:rsid w:val="33462206"/>
    <w:rsid w:val="33A76009"/>
    <w:rsid w:val="33FB67B1"/>
    <w:rsid w:val="340F7B26"/>
    <w:rsid w:val="343541C9"/>
    <w:rsid w:val="34A1424B"/>
    <w:rsid w:val="358B18DF"/>
    <w:rsid w:val="36040445"/>
    <w:rsid w:val="36330C1F"/>
    <w:rsid w:val="378827E9"/>
    <w:rsid w:val="3A7874C9"/>
    <w:rsid w:val="3A90074B"/>
    <w:rsid w:val="3B2A72BD"/>
    <w:rsid w:val="3C946FA0"/>
    <w:rsid w:val="3CCC0879"/>
    <w:rsid w:val="3CEA3162"/>
    <w:rsid w:val="3D0D017A"/>
    <w:rsid w:val="3FAE5017"/>
    <w:rsid w:val="3FED7601"/>
    <w:rsid w:val="401433F0"/>
    <w:rsid w:val="402B745C"/>
    <w:rsid w:val="40FC65DB"/>
    <w:rsid w:val="41141EF5"/>
    <w:rsid w:val="415B47E1"/>
    <w:rsid w:val="41827AA1"/>
    <w:rsid w:val="41880F96"/>
    <w:rsid w:val="42913241"/>
    <w:rsid w:val="43416E19"/>
    <w:rsid w:val="45404D48"/>
    <w:rsid w:val="45CA3EBF"/>
    <w:rsid w:val="46C01B17"/>
    <w:rsid w:val="46ED3A2E"/>
    <w:rsid w:val="477C099F"/>
    <w:rsid w:val="47D03952"/>
    <w:rsid w:val="47EF2D65"/>
    <w:rsid w:val="47FA4052"/>
    <w:rsid w:val="491B50BC"/>
    <w:rsid w:val="49400E94"/>
    <w:rsid w:val="4A0A3606"/>
    <w:rsid w:val="4A3F2917"/>
    <w:rsid w:val="4AF87442"/>
    <w:rsid w:val="4AF96BDA"/>
    <w:rsid w:val="4B516215"/>
    <w:rsid w:val="4BBA3FA4"/>
    <w:rsid w:val="4BE01191"/>
    <w:rsid w:val="4BEE69B4"/>
    <w:rsid w:val="4C1F06B7"/>
    <w:rsid w:val="4C593978"/>
    <w:rsid w:val="4D2775E5"/>
    <w:rsid w:val="4D283E1B"/>
    <w:rsid w:val="4DE8390E"/>
    <w:rsid w:val="4E6C1454"/>
    <w:rsid w:val="4E9B5659"/>
    <w:rsid w:val="50E77FA1"/>
    <w:rsid w:val="5118196D"/>
    <w:rsid w:val="51575BF7"/>
    <w:rsid w:val="53461290"/>
    <w:rsid w:val="53904AD4"/>
    <w:rsid w:val="539225A0"/>
    <w:rsid w:val="584A6A38"/>
    <w:rsid w:val="58CC3495"/>
    <w:rsid w:val="593D5F55"/>
    <w:rsid w:val="595E7496"/>
    <w:rsid w:val="5A094846"/>
    <w:rsid w:val="5BA85116"/>
    <w:rsid w:val="5C33722C"/>
    <w:rsid w:val="5C9F78A1"/>
    <w:rsid w:val="5CD11D5C"/>
    <w:rsid w:val="5D202794"/>
    <w:rsid w:val="5DB94CAE"/>
    <w:rsid w:val="5E0241CC"/>
    <w:rsid w:val="5E1902B2"/>
    <w:rsid w:val="5E5F0BBA"/>
    <w:rsid w:val="5EF059A1"/>
    <w:rsid w:val="5F342B25"/>
    <w:rsid w:val="5FEF00B1"/>
    <w:rsid w:val="5FF0333F"/>
    <w:rsid w:val="60395EE3"/>
    <w:rsid w:val="6064056B"/>
    <w:rsid w:val="609F5822"/>
    <w:rsid w:val="61166B63"/>
    <w:rsid w:val="61D94C3A"/>
    <w:rsid w:val="61E46DAE"/>
    <w:rsid w:val="627B4811"/>
    <w:rsid w:val="63AB342D"/>
    <w:rsid w:val="63B76C4A"/>
    <w:rsid w:val="64DE3381"/>
    <w:rsid w:val="65991F1E"/>
    <w:rsid w:val="65B206C3"/>
    <w:rsid w:val="65F16BE4"/>
    <w:rsid w:val="670C6C20"/>
    <w:rsid w:val="67393CEC"/>
    <w:rsid w:val="674E7966"/>
    <w:rsid w:val="675C06DF"/>
    <w:rsid w:val="67BD18E2"/>
    <w:rsid w:val="68020AF4"/>
    <w:rsid w:val="680F1120"/>
    <w:rsid w:val="69342E70"/>
    <w:rsid w:val="696751A5"/>
    <w:rsid w:val="69946464"/>
    <w:rsid w:val="6B9E7118"/>
    <w:rsid w:val="6BC11EE9"/>
    <w:rsid w:val="6C854FD8"/>
    <w:rsid w:val="6C900343"/>
    <w:rsid w:val="6CA6530F"/>
    <w:rsid w:val="6CD31C15"/>
    <w:rsid w:val="6D2F0D6B"/>
    <w:rsid w:val="6F6006ED"/>
    <w:rsid w:val="6F8D0C54"/>
    <w:rsid w:val="6FB15510"/>
    <w:rsid w:val="70725566"/>
    <w:rsid w:val="70AD3959"/>
    <w:rsid w:val="717C6CD3"/>
    <w:rsid w:val="72BB2A3F"/>
    <w:rsid w:val="72EF68EC"/>
    <w:rsid w:val="73561258"/>
    <w:rsid w:val="735B5A40"/>
    <w:rsid w:val="73C81064"/>
    <w:rsid w:val="748E16D2"/>
    <w:rsid w:val="755172AA"/>
    <w:rsid w:val="75874FFB"/>
    <w:rsid w:val="75CA6A65"/>
    <w:rsid w:val="768A643C"/>
    <w:rsid w:val="76F47A47"/>
    <w:rsid w:val="78D072A3"/>
    <w:rsid w:val="7984069C"/>
    <w:rsid w:val="7A910E1C"/>
    <w:rsid w:val="7AC86803"/>
    <w:rsid w:val="7CE32B3E"/>
    <w:rsid w:val="7CF2330E"/>
    <w:rsid w:val="7D363492"/>
    <w:rsid w:val="7E1D072E"/>
    <w:rsid w:val="7E2E41E4"/>
    <w:rsid w:val="7FAC4DAB"/>
    <w:rsid w:val="7FD12D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link w:val="25"/>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7"/>
    <w:semiHidden/>
    <w:unhideWhenUsed/>
    <w:qFormat/>
    <w:uiPriority w:val="99"/>
    <w:pPr>
      <w:jc w:val="left"/>
    </w:pPr>
  </w:style>
  <w:style w:type="paragraph" w:styleId="5">
    <w:name w:val="Body Text Indent"/>
    <w:basedOn w:val="1"/>
    <w:link w:val="20"/>
    <w:qFormat/>
    <w:uiPriority w:val="0"/>
    <w:pPr>
      <w:spacing w:line="560" w:lineRule="exact"/>
      <w:ind w:firstLine="640" w:firstLineChars="200"/>
    </w:pPr>
    <w:rPr>
      <w:sz w:val="32"/>
    </w:rPr>
  </w:style>
  <w:style w:type="paragraph" w:styleId="6">
    <w:name w:val="Body Text Indent 2"/>
    <w:basedOn w:val="1"/>
    <w:link w:val="21"/>
    <w:qFormat/>
    <w:uiPriority w:val="0"/>
    <w:pPr>
      <w:ind w:left="420" w:leftChars="200" w:firstLine="560" w:firstLineChars="200"/>
    </w:pPr>
    <w:rPr>
      <w:rFonts w:ascii="宋体" w:hAnsi="宋体"/>
      <w:sz w:val="28"/>
    </w:rPr>
  </w:style>
  <w:style w:type="paragraph" w:styleId="7">
    <w:name w:val="Balloon Text"/>
    <w:basedOn w:val="1"/>
    <w:link w:val="29"/>
    <w:semiHidden/>
    <w:unhideWhenUsed/>
    <w:qFormat/>
    <w:uiPriority w:val="99"/>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spacing w:line="420" w:lineRule="exact"/>
      <w:ind w:firstLine="480" w:firstLineChars="200"/>
      <w:jc w:val="left"/>
    </w:pPr>
    <w:rPr>
      <w:rFonts w:ascii="Calibri" w:hAnsi="Calibri"/>
      <w:kern w:val="0"/>
      <w:sz w:val="24"/>
    </w:rPr>
  </w:style>
  <w:style w:type="paragraph" w:styleId="11">
    <w:name w:val="annotation subject"/>
    <w:basedOn w:val="4"/>
    <w:next w:val="4"/>
    <w:link w:val="28"/>
    <w:semiHidden/>
    <w:unhideWhenUsed/>
    <w:qFormat/>
    <w:uiPriority w:val="99"/>
    <w:rPr>
      <w:b/>
      <w:bCs/>
    </w:rPr>
  </w:style>
  <w:style w:type="table" w:styleId="13">
    <w:name w:val="Table Grid"/>
    <w:basedOn w:val="12"/>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TML Typewriter"/>
    <w:basedOn w:val="14"/>
    <w:qFormat/>
    <w:uiPriority w:val="0"/>
    <w:rPr>
      <w:rFonts w:ascii="黑体" w:hAnsi="Courier New" w:eastAsia="黑体" w:cs="彩虹粗仿宋"/>
      <w:spacing w:val="312"/>
      <w:sz w:val="18"/>
      <w:szCs w:val="18"/>
    </w:rPr>
  </w:style>
  <w:style w:type="character" w:styleId="17">
    <w:name w:val="Hyperlink"/>
    <w:basedOn w:val="14"/>
    <w:qFormat/>
    <w:uiPriority w:val="0"/>
    <w:rPr>
      <w:color w:val="0000FF"/>
      <w:u w:val="single"/>
    </w:rPr>
  </w:style>
  <w:style w:type="character" w:styleId="18">
    <w:name w:val="annotation reference"/>
    <w:basedOn w:val="14"/>
    <w:qFormat/>
    <w:uiPriority w:val="0"/>
    <w:rPr>
      <w:sz w:val="21"/>
      <w:szCs w:val="21"/>
    </w:rPr>
  </w:style>
  <w:style w:type="paragraph" w:styleId="19">
    <w:name w:val="List Paragraph"/>
    <w:basedOn w:val="1"/>
    <w:qFormat/>
    <w:uiPriority w:val="34"/>
    <w:pPr>
      <w:spacing w:line="420" w:lineRule="exact"/>
      <w:ind w:firstLine="420" w:firstLineChars="200"/>
    </w:pPr>
    <w:rPr>
      <w:rFonts w:ascii="宋体" w:hAnsi="宋体" w:cstheme="minorBidi"/>
      <w:sz w:val="24"/>
    </w:rPr>
  </w:style>
  <w:style w:type="character" w:customStyle="1" w:styleId="20">
    <w:name w:val="正文文本缩进 Char"/>
    <w:basedOn w:val="14"/>
    <w:link w:val="5"/>
    <w:qFormat/>
    <w:uiPriority w:val="0"/>
    <w:rPr>
      <w:rFonts w:ascii="Times New Roman" w:hAnsi="Times New Roman" w:eastAsia="宋体" w:cs="Times New Roman"/>
      <w:sz w:val="32"/>
      <w:szCs w:val="24"/>
    </w:rPr>
  </w:style>
  <w:style w:type="character" w:customStyle="1" w:styleId="21">
    <w:name w:val="正文文本缩进 2 Char"/>
    <w:basedOn w:val="14"/>
    <w:link w:val="6"/>
    <w:qFormat/>
    <w:uiPriority w:val="0"/>
    <w:rPr>
      <w:rFonts w:ascii="宋体" w:hAnsi="宋体" w:eastAsia="宋体" w:cs="Times New Roman"/>
      <w:sz w:val="28"/>
      <w:szCs w:val="24"/>
    </w:rPr>
  </w:style>
  <w:style w:type="paragraph" w:customStyle="1" w:styleId="22">
    <w:name w:val="p0"/>
    <w:basedOn w:val="1"/>
    <w:qFormat/>
    <w:uiPriority w:val="0"/>
    <w:pPr>
      <w:widowControl/>
    </w:pPr>
    <w:rPr>
      <w:kern w:val="0"/>
      <w:szCs w:val="21"/>
    </w:rPr>
  </w:style>
  <w:style w:type="character" w:customStyle="1" w:styleId="23">
    <w:name w:val="页眉 Char"/>
    <w:basedOn w:val="14"/>
    <w:link w:val="9"/>
    <w:qFormat/>
    <w:uiPriority w:val="99"/>
    <w:rPr>
      <w:rFonts w:ascii="Times New Roman" w:hAnsi="Times New Roman" w:eastAsia="宋体" w:cs="Times New Roman"/>
      <w:sz w:val="18"/>
      <w:szCs w:val="18"/>
    </w:rPr>
  </w:style>
  <w:style w:type="character" w:customStyle="1" w:styleId="24">
    <w:name w:val="页脚 Char"/>
    <w:basedOn w:val="14"/>
    <w:link w:val="8"/>
    <w:qFormat/>
    <w:uiPriority w:val="99"/>
    <w:rPr>
      <w:rFonts w:ascii="Times New Roman" w:hAnsi="Times New Roman" w:eastAsia="宋体" w:cs="Times New Roman"/>
      <w:sz w:val="18"/>
      <w:szCs w:val="18"/>
    </w:rPr>
  </w:style>
  <w:style w:type="character" w:customStyle="1" w:styleId="25">
    <w:name w:val="标题 3 Char"/>
    <w:basedOn w:val="14"/>
    <w:link w:val="3"/>
    <w:qFormat/>
    <w:uiPriority w:val="9"/>
    <w:rPr>
      <w:rFonts w:ascii="宋体" w:hAnsi="宋体" w:eastAsia="宋体" w:cs="宋体"/>
      <w:b/>
      <w:bCs/>
      <w:kern w:val="0"/>
      <w:sz w:val="27"/>
      <w:szCs w:val="27"/>
    </w:rPr>
  </w:style>
  <w:style w:type="paragraph" w:customStyle="1" w:styleId="2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27">
    <w:name w:val="批注文字 Char"/>
    <w:basedOn w:val="14"/>
    <w:link w:val="4"/>
    <w:semiHidden/>
    <w:qFormat/>
    <w:uiPriority w:val="99"/>
    <w:rPr>
      <w:kern w:val="2"/>
      <w:sz w:val="21"/>
      <w:szCs w:val="24"/>
    </w:rPr>
  </w:style>
  <w:style w:type="character" w:customStyle="1" w:styleId="28">
    <w:name w:val="批注主题 Char"/>
    <w:basedOn w:val="27"/>
    <w:link w:val="11"/>
    <w:semiHidden/>
    <w:qFormat/>
    <w:uiPriority w:val="99"/>
    <w:rPr>
      <w:b/>
      <w:bCs/>
      <w:kern w:val="2"/>
      <w:sz w:val="21"/>
      <w:szCs w:val="24"/>
    </w:rPr>
  </w:style>
  <w:style w:type="character" w:customStyle="1" w:styleId="29">
    <w:name w:val="批注框文本 Char"/>
    <w:basedOn w:val="14"/>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18</Pages>
  <Words>6813</Words>
  <Characters>7405</Characters>
  <Lines>62</Lines>
  <Paragraphs>17</Paragraphs>
  <TotalTime>57</TotalTime>
  <ScaleCrop>false</ScaleCrop>
  <LinksUpToDate>false</LinksUpToDate>
  <CharactersWithSpaces>8298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2025-10-10T01:14:00Z</dcterms:created>
  <dc:creator>dell-01</dc:creator>
  <cp:lastModifiedBy>momo</cp:lastModifiedBy>
  <cp:lastPrinted>2024-11-13T10:13:00Z</cp:lastPrinted>
  <dcterms:modified xsi:type="dcterms:W3CDTF">2026-08-14T02:51:33Z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ECC2438D5D1E4D4D8EBDBF10596893E4_13</vt:lpwstr>
  </property>
  <property fmtid="{D5CDD505-2E9C-101B-9397-08002B2CF9AE}" pid="4" name="KSOTemplateDocerSaveRecord">
    <vt:lpwstr>eyJoZGlkIjoiYzQ3MzlhOGZlMDEwMjQwNWIxMmUyYzU5ZGQ5Y2U3ODQiLCJ1c2VySWQiOiIxNzcwMjQyMTQ4In0=</vt:lpwstr>
  </property>
</Properties>
</file>