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F7B78B">
      <w:pPr>
        <w:spacing w:line="400" w:lineRule="exact"/>
        <w:jc w:val="center"/>
        <w:rPr>
          <w:rFonts w:asciiTheme="minorEastAsia" w:hAnsiTheme="minorEastAsia" w:eastAsiaTheme="minorEastAsia"/>
          <w:b/>
          <w:color w:val="auto"/>
          <w:sz w:val="32"/>
          <w:szCs w:val="32"/>
        </w:rPr>
      </w:pPr>
      <w:bookmarkStart w:id="2" w:name="_GoBack"/>
      <w:bookmarkEnd w:id="2"/>
      <w:bookmarkStart w:id="0" w:name="_Toc66855870"/>
      <w:bookmarkStart w:id="1" w:name="_Toc10809876"/>
      <w:r>
        <w:rPr>
          <w:rFonts w:hint="eastAsia" w:asciiTheme="minorEastAsia" w:hAnsiTheme="minorEastAsia" w:eastAsiaTheme="minorEastAsia"/>
          <w:b/>
          <w:color w:val="auto"/>
          <w:sz w:val="32"/>
          <w:szCs w:val="32"/>
        </w:rPr>
        <w:t>柴油撬装设备转让合同</w:t>
      </w:r>
    </w:p>
    <w:p w14:paraId="5717FBFE">
      <w:pPr>
        <w:spacing w:line="400" w:lineRule="exact"/>
        <w:jc w:val="center"/>
        <w:rPr>
          <w:rFonts w:asciiTheme="minorEastAsia" w:hAnsiTheme="minorEastAsia" w:eastAsiaTheme="minorEastAsia"/>
          <w:b/>
          <w:color w:val="auto"/>
          <w:sz w:val="32"/>
          <w:szCs w:val="32"/>
        </w:rPr>
      </w:pPr>
    </w:p>
    <w:p w14:paraId="1BBDCECC">
      <w:pPr>
        <w:spacing w:line="400" w:lineRule="exact"/>
        <w:ind w:firstLine="440" w:firstLineChars="200"/>
        <w:rPr>
          <w:rFonts w:asciiTheme="minorEastAsia" w:hAnsiTheme="minorEastAsia" w:eastAsiaTheme="minorEastAsia"/>
          <w:color w:val="auto"/>
          <w:sz w:val="32"/>
          <w:szCs w:val="36"/>
        </w:rPr>
      </w:pPr>
      <w:r>
        <w:rPr>
          <w:rFonts w:hint="eastAsia" w:asciiTheme="minorEastAsia" w:hAnsiTheme="minorEastAsia" w:eastAsiaTheme="minorEastAsia"/>
          <w:color w:val="auto"/>
          <w:sz w:val="22"/>
        </w:rPr>
        <w:t>合同编号：</w:t>
      </w:r>
    </w:p>
    <w:p w14:paraId="433E1B1A">
      <w:pPr>
        <w:tabs>
          <w:tab w:val="left" w:pos="3840"/>
        </w:tabs>
        <w:spacing w:line="360" w:lineRule="auto"/>
        <w:ind w:firstLine="482" w:firstLineChars="200"/>
        <w:rPr>
          <w:rFonts w:asciiTheme="minorEastAsia" w:hAnsiTheme="minorEastAsia" w:eastAsiaTheme="minorEastAsia"/>
          <w:b/>
          <w:color w:val="auto"/>
        </w:rPr>
      </w:pPr>
      <w:r>
        <w:rPr>
          <w:rFonts w:hint="eastAsia" w:asciiTheme="minorEastAsia" w:hAnsiTheme="minorEastAsia" w:eastAsiaTheme="minorEastAsia"/>
          <w:b/>
          <w:color w:val="auto"/>
        </w:rPr>
        <w:t>甲方（转让方）：</w:t>
      </w:r>
    </w:p>
    <w:p w14:paraId="4CED8979">
      <w:pPr>
        <w:tabs>
          <w:tab w:val="left" w:pos="3840"/>
        </w:tabs>
        <w:spacing w:line="360" w:lineRule="auto"/>
        <w:ind w:firstLine="482" w:firstLineChars="200"/>
        <w:rPr>
          <w:rFonts w:asciiTheme="minorEastAsia" w:hAnsiTheme="minorEastAsia" w:eastAsiaTheme="minorEastAsia"/>
          <w:b/>
          <w:color w:val="auto"/>
        </w:rPr>
      </w:pPr>
      <w:r>
        <w:rPr>
          <w:rFonts w:hint="eastAsia" w:asciiTheme="minorEastAsia" w:hAnsiTheme="minorEastAsia" w:eastAsiaTheme="minorEastAsia"/>
          <w:b/>
          <w:color w:val="auto"/>
        </w:rPr>
        <w:t>法定代表人：</w:t>
      </w:r>
    </w:p>
    <w:p w14:paraId="2301E9A4">
      <w:pPr>
        <w:tabs>
          <w:tab w:val="left" w:pos="3840"/>
          <w:tab w:val="left" w:pos="5100"/>
        </w:tabs>
        <w:spacing w:line="360" w:lineRule="auto"/>
        <w:ind w:firstLine="482" w:firstLineChars="200"/>
        <w:rPr>
          <w:rFonts w:asciiTheme="minorEastAsia" w:hAnsiTheme="minorEastAsia" w:eastAsiaTheme="minorEastAsia"/>
          <w:b/>
          <w:color w:val="auto"/>
        </w:rPr>
      </w:pPr>
      <w:r>
        <w:rPr>
          <w:rFonts w:hint="eastAsia" w:asciiTheme="minorEastAsia" w:hAnsiTheme="minorEastAsia" w:eastAsiaTheme="minorEastAsia"/>
          <w:b/>
          <w:color w:val="auto"/>
        </w:rPr>
        <w:t>地址：</w:t>
      </w:r>
    </w:p>
    <w:p w14:paraId="3D4B3FFD">
      <w:pPr>
        <w:tabs>
          <w:tab w:val="left" w:pos="3840"/>
          <w:tab w:val="left" w:pos="5100"/>
        </w:tabs>
        <w:spacing w:line="360" w:lineRule="auto"/>
        <w:ind w:firstLine="482" w:firstLineChars="200"/>
        <w:rPr>
          <w:rFonts w:asciiTheme="minorEastAsia" w:hAnsiTheme="minorEastAsia" w:eastAsiaTheme="minorEastAsia"/>
          <w:b/>
          <w:color w:val="auto"/>
        </w:rPr>
      </w:pPr>
      <w:r>
        <w:rPr>
          <w:rFonts w:hint="eastAsia" w:asciiTheme="minorEastAsia" w:hAnsiTheme="minorEastAsia" w:eastAsiaTheme="minorEastAsia"/>
          <w:b/>
          <w:color w:val="auto"/>
        </w:rPr>
        <w:t>电    话：</w:t>
      </w:r>
    </w:p>
    <w:p w14:paraId="6179C481">
      <w:pPr>
        <w:tabs>
          <w:tab w:val="left" w:pos="3840"/>
          <w:tab w:val="left" w:pos="5100"/>
        </w:tabs>
        <w:spacing w:line="360" w:lineRule="auto"/>
        <w:ind w:firstLine="482" w:firstLineChars="200"/>
        <w:rPr>
          <w:rFonts w:asciiTheme="minorEastAsia" w:hAnsiTheme="minorEastAsia" w:eastAsiaTheme="minorEastAsia"/>
          <w:b/>
          <w:color w:val="auto"/>
        </w:rPr>
      </w:pPr>
    </w:p>
    <w:p w14:paraId="3E89659F">
      <w:pPr>
        <w:tabs>
          <w:tab w:val="left" w:pos="3840"/>
          <w:tab w:val="left" w:pos="5100"/>
        </w:tabs>
        <w:spacing w:line="360" w:lineRule="auto"/>
        <w:ind w:firstLine="482" w:firstLineChars="200"/>
        <w:rPr>
          <w:rFonts w:asciiTheme="minorEastAsia" w:hAnsiTheme="minorEastAsia" w:eastAsiaTheme="minorEastAsia"/>
          <w:b/>
          <w:color w:val="auto"/>
        </w:rPr>
      </w:pPr>
    </w:p>
    <w:p w14:paraId="7DEE66CD">
      <w:pPr>
        <w:tabs>
          <w:tab w:val="left" w:pos="5160"/>
          <w:tab w:val="left" w:pos="5799"/>
        </w:tabs>
        <w:spacing w:line="360" w:lineRule="auto"/>
        <w:ind w:firstLine="482" w:firstLineChars="200"/>
        <w:rPr>
          <w:rFonts w:asciiTheme="minorEastAsia" w:hAnsiTheme="minorEastAsia" w:eastAsiaTheme="minorEastAsia"/>
          <w:b/>
          <w:color w:val="auto"/>
        </w:rPr>
      </w:pPr>
      <w:r>
        <w:rPr>
          <w:rFonts w:hint="eastAsia" w:asciiTheme="minorEastAsia" w:hAnsiTheme="minorEastAsia" w:eastAsiaTheme="minorEastAsia"/>
          <w:b/>
          <w:color w:val="auto"/>
        </w:rPr>
        <w:t>乙方（受让方）：</w:t>
      </w:r>
      <w:r>
        <w:rPr>
          <w:rFonts w:hint="eastAsia" w:asciiTheme="minorEastAsia" w:hAnsiTheme="minorEastAsia" w:eastAsiaTheme="minorEastAsia"/>
          <w:b/>
          <w:color w:val="auto"/>
        </w:rPr>
        <w:tab/>
      </w:r>
      <w:r>
        <w:rPr>
          <w:rFonts w:hint="eastAsia" w:asciiTheme="minorEastAsia" w:hAnsiTheme="minorEastAsia" w:eastAsiaTheme="minorEastAsia"/>
          <w:b/>
          <w:color w:val="auto"/>
        </w:rPr>
        <w:tab/>
      </w:r>
    </w:p>
    <w:p w14:paraId="5D547A59">
      <w:pPr>
        <w:tabs>
          <w:tab w:val="left" w:pos="4070"/>
          <w:tab w:val="left" w:pos="5160"/>
        </w:tabs>
        <w:spacing w:line="360" w:lineRule="auto"/>
        <w:ind w:firstLine="482" w:firstLineChars="200"/>
        <w:rPr>
          <w:rFonts w:asciiTheme="minorEastAsia" w:hAnsiTheme="minorEastAsia" w:eastAsiaTheme="minorEastAsia"/>
          <w:b/>
          <w:color w:val="auto"/>
          <w:u w:val="single"/>
        </w:rPr>
      </w:pPr>
      <w:r>
        <w:rPr>
          <w:rFonts w:hint="eastAsia" w:asciiTheme="minorEastAsia" w:hAnsiTheme="minorEastAsia" w:eastAsiaTheme="minorEastAsia"/>
          <w:b/>
          <w:color w:val="auto"/>
        </w:rPr>
        <w:t>法定代表人：</w:t>
      </w:r>
    </w:p>
    <w:p w14:paraId="1A89901A">
      <w:pPr>
        <w:tabs>
          <w:tab w:val="left" w:pos="4070"/>
          <w:tab w:val="left" w:pos="5160"/>
        </w:tabs>
        <w:spacing w:line="360" w:lineRule="auto"/>
        <w:ind w:firstLine="482" w:firstLineChars="200"/>
        <w:rPr>
          <w:rFonts w:asciiTheme="minorEastAsia" w:hAnsiTheme="minorEastAsia" w:eastAsiaTheme="minorEastAsia"/>
          <w:b/>
          <w:color w:val="auto"/>
        </w:rPr>
      </w:pPr>
      <w:r>
        <w:rPr>
          <w:rFonts w:hint="eastAsia" w:asciiTheme="minorEastAsia" w:hAnsiTheme="minorEastAsia" w:eastAsiaTheme="minorEastAsia"/>
          <w:b/>
          <w:color w:val="auto"/>
        </w:rPr>
        <w:t>地址：</w:t>
      </w:r>
    </w:p>
    <w:p w14:paraId="518F7CDB">
      <w:pPr>
        <w:tabs>
          <w:tab w:val="left" w:pos="4070"/>
          <w:tab w:val="left" w:pos="5160"/>
        </w:tabs>
        <w:spacing w:line="360" w:lineRule="auto"/>
        <w:ind w:firstLine="482" w:firstLineChars="200"/>
        <w:rPr>
          <w:rFonts w:asciiTheme="minorEastAsia" w:hAnsiTheme="minorEastAsia" w:eastAsiaTheme="minorEastAsia"/>
          <w:b/>
          <w:color w:val="auto"/>
        </w:rPr>
      </w:pPr>
      <w:r>
        <w:rPr>
          <w:rFonts w:hint="eastAsia" w:asciiTheme="minorEastAsia" w:hAnsiTheme="minorEastAsia" w:eastAsiaTheme="minorEastAsia"/>
          <w:b/>
          <w:color w:val="auto"/>
        </w:rPr>
        <w:t>电    话：</w:t>
      </w:r>
    </w:p>
    <w:p w14:paraId="07092810">
      <w:pPr>
        <w:tabs>
          <w:tab w:val="left" w:pos="4070"/>
          <w:tab w:val="left" w:pos="5160"/>
        </w:tabs>
        <w:spacing w:line="360" w:lineRule="auto"/>
        <w:ind w:firstLine="482" w:firstLineChars="200"/>
        <w:rPr>
          <w:rFonts w:asciiTheme="minorEastAsia" w:hAnsiTheme="minorEastAsia" w:eastAsiaTheme="minorEastAsia"/>
          <w:b/>
          <w:color w:val="auto"/>
        </w:rPr>
      </w:pPr>
    </w:p>
    <w:p w14:paraId="34818D30">
      <w:pPr>
        <w:tabs>
          <w:tab w:val="left" w:pos="4070"/>
          <w:tab w:val="left" w:pos="5160"/>
        </w:tabs>
        <w:spacing w:line="360" w:lineRule="auto"/>
        <w:ind w:firstLine="482" w:firstLineChars="200"/>
        <w:rPr>
          <w:rFonts w:asciiTheme="minorEastAsia" w:hAnsiTheme="minorEastAsia" w:eastAsiaTheme="minorEastAsia"/>
          <w:b/>
          <w:color w:val="auto"/>
        </w:rPr>
      </w:pPr>
    </w:p>
    <w:p w14:paraId="779D4462">
      <w:pPr>
        <w:spacing w:line="400" w:lineRule="exact"/>
        <w:rPr>
          <w:rFonts w:ascii="仿宋" w:hAnsi="仿宋" w:eastAsia="仿宋"/>
          <w:b/>
          <w:color w:val="auto"/>
        </w:rPr>
      </w:pPr>
      <w:r>
        <w:rPr>
          <w:rFonts w:hint="eastAsia" w:ascii="仿宋" w:hAnsi="仿宋" w:eastAsia="仿宋"/>
          <w:b/>
          <w:color w:val="auto"/>
        </w:rPr>
        <w:t>注：</w:t>
      </w:r>
    </w:p>
    <w:p w14:paraId="30E5628C">
      <w:pPr>
        <w:spacing w:line="400" w:lineRule="exact"/>
        <w:ind w:firstLine="480" w:firstLineChars="200"/>
        <w:rPr>
          <w:rFonts w:ascii="仿宋" w:hAnsi="仿宋" w:eastAsia="仿宋"/>
          <w:color w:val="auto"/>
        </w:rPr>
      </w:pPr>
      <w:r>
        <w:rPr>
          <w:rFonts w:ascii="仿宋" w:hAnsi="仿宋" w:eastAsia="仿宋"/>
          <w:color w:val="auto"/>
        </w:rPr>
        <w:t>1</w:t>
      </w:r>
      <w:r>
        <w:rPr>
          <w:rFonts w:hint="eastAsia" w:ascii="仿宋" w:hAnsi="仿宋" w:eastAsia="仿宋"/>
          <w:color w:val="auto"/>
        </w:rPr>
        <w:t>、本合同及其附件共页。</w:t>
      </w:r>
    </w:p>
    <w:p w14:paraId="7D6488DE">
      <w:pPr>
        <w:ind w:right="440" w:firstLine="480" w:firstLineChars="200"/>
        <w:rPr>
          <w:rFonts w:ascii="仿宋" w:hAnsi="仿宋" w:eastAsia="仿宋"/>
          <w:color w:val="auto"/>
        </w:rPr>
      </w:pPr>
      <w:r>
        <w:rPr>
          <w:rFonts w:ascii="仿宋" w:hAnsi="仿宋" w:eastAsia="仿宋"/>
          <w:color w:val="auto"/>
        </w:rPr>
        <w:t>2</w:t>
      </w:r>
      <w:r>
        <w:rPr>
          <w:rFonts w:hint="eastAsia" w:ascii="仿宋" w:hAnsi="仿宋" w:eastAsia="仿宋"/>
          <w:color w:val="auto"/>
        </w:rPr>
        <w:t>、本页请加盖骑缝章，为合同一部分。</w:t>
      </w:r>
    </w:p>
    <w:p w14:paraId="0125586B">
      <w:pPr>
        <w:jc w:val="center"/>
        <w:outlineLvl w:val="0"/>
        <w:rPr>
          <w:rFonts w:asciiTheme="minorEastAsia" w:hAnsiTheme="minorEastAsia" w:eastAsiaTheme="minorEastAsia"/>
          <w:bCs/>
          <w:color w:val="auto"/>
        </w:rPr>
      </w:pPr>
      <w:r>
        <w:rPr>
          <w:rFonts w:cs="Arial" w:asciiTheme="minorEastAsia" w:hAnsiTheme="minorEastAsia" w:eastAsiaTheme="minorEastAsia"/>
          <w:b/>
          <w:color w:val="auto"/>
          <w:sz w:val="32"/>
          <w:szCs w:val="32"/>
        </w:rPr>
        <w:br w:type="page"/>
      </w:r>
      <w:bookmarkEnd w:id="0"/>
      <w:bookmarkEnd w:id="1"/>
    </w:p>
    <w:p w14:paraId="769B880E">
      <w:pPr>
        <w:spacing w:line="360" w:lineRule="auto"/>
        <w:ind w:firstLine="482" w:firstLineChars="200"/>
        <w:rPr>
          <w:rFonts w:asciiTheme="minorEastAsia" w:hAnsiTheme="minorEastAsia" w:eastAsiaTheme="minorEastAsia"/>
          <w:b/>
          <w:bCs/>
          <w:color w:val="auto"/>
        </w:rPr>
      </w:pPr>
      <w:r>
        <w:rPr>
          <w:rFonts w:hint="eastAsia" w:asciiTheme="minorEastAsia" w:hAnsiTheme="minorEastAsia" w:eastAsiaTheme="minorEastAsia"/>
          <w:b/>
          <w:bCs/>
          <w:color w:val="auto"/>
        </w:rPr>
        <w:t>鉴于：</w:t>
      </w:r>
    </w:p>
    <w:p w14:paraId="7BB43D70">
      <w:pPr>
        <w:spacing w:line="360" w:lineRule="auto"/>
        <w:ind w:firstLine="480" w:firstLineChars="200"/>
        <w:rPr>
          <w:rFonts w:asciiTheme="minorEastAsia" w:hAnsiTheme="minorEastAsia" w:eastAsiaTheme="minorEastAsia"/>
          <w:color w:val="auto"/>
        </w:rPr>
      </w:pPr>
      <w:r>
        <w:rPr>
          <w:rFonts w:hint="eastAsia" w:asciiTheme="minorEastAsia" w:hAnsiTheme="minorEastAsia" w:eastAsiaTheme="minorEastAsia"/>
          <w:color w:val="auto"/>
        </w:rPr>
        <w:t>依据《中华人民共和国民法典》《中华人民共和国拍卖法》《企业国有资产交易监督管理办法》等法律法规，甲方通过龙岩市产权交易中心公开</w:t>
      </w:r>
      <w:r>
        <w:rPr>
          <w:rFonts w:hint="eastAsia" w:asciiTheme="minorEastAsia" w:hAnsiTheme="minorEastAsia" w:eastAsiaTheme="minorEastAsia"/>
          <w:color w:val="auto"/>
          <w:lang w:val="en-US" w:eastAsia="zh-CN"/>
        </w:rPr>
        <w:t>竞价</w:t>
      </w:r>
      <w:r>
        <w:rPr>
          <w:rFonts w:hint="eastAsia" w:asciiTheme="minorEastAsia" w:hAnsiTheme="minorEastAsia" w:eastAsiaTheme="minorEastAsia"/>
          <w:color w:val="auto"/>
        </w:rPr>
        <w:t>方式出让闲置资产，乙方通过公开竞价成为最终受让方。甲乙双方本着平等、自愿、公平、诚实信用的原则，就资产转让事宜订立本合同，共同信守执行。</w:t>
      </w:r>
    </w:p>
    <w:p w14:paraId="46A3B5B5">
      <w:pPr>
        <w:spacing w:line="360" w:lineRule="auto"/>
        <w:outlineLvl w:val="0"/>
        <w:rPr>
          <w:rFonts w:asciiTheme="minorEastAsia" w:hAnsiTheme="minorEastAsia" w:eastAsiaTheme="minorEastAsia"/>
          <w:b/>
          <w:bCs/>
          <w:color w:val="auto"/>
          <w:sz w:val="28"/>
        </w:rPr>
      </w:pPr>
      <w:r>
        <w:rPr>
          <w:rFonts w:hint="eastAsia" w:asciiTheme="minorEastAsia" w:hAnsiTheme="minorEastAsia" w:eastAsiaTheme="minorEastAsia"/>
          <w:b/>
          <w:bCs/>
          <w:color w:val="auto"/>
          <w:sz w:val="28"/>
        </w:rPr>
        <w:t>第一条  转让标的</w:t>
      </w:r>
    </w:p>
    <w:tbl>
      <w:tblPr>
        <w:tblStyle w:val="16"/>
        <w:tblW w:w="4971" w:type="pct"/>
        <w:tblInd w:w="-318" w:type="dxa"/>
        <w:shd w:val="clear" w:color="auto" w:fill="FFFFFF"/>
        <w:tblLayout w:type="autofit"/>
        <w:tblCellMar>
          <w:top w:w="0" w:type="dxa"/>
          <w:left w:w="0" w:type="dxa"/>
          <w:bottom w:w="0" w:type="dxa"/>
          <w:right w:w="0" w:type="dxa"/>
        </w:tblCellMar>
      </w:tblPr>
      <w:tblGrid>
        <w:gridCol w:w="776"/>
        <w:gridCol w:w="2616"/>
        <w:gridCol w:w="1376"/>
        <w:gridCol w:w="952"/>
        <w:gridCol w:w="1656"/>
        <w:gridCol w:w="1278"/>
        <w:gridCol w:w="1143"/>
      </w:tblGrid>
      <w:tr w14:paraId="3B067F9F">
        <w:tblPrEx>
          <w:shd w:val="clear" w:color="auto" w:fill="FFFFFF"/>
          <w:tblCellMar>
            <w:top w:w="0" w:type="dxa"/>
            <w:left w:w="0" w:type="dxa"/>
            <w:bottom w:w="0" w:type="dxa"/>
            <w:right w:w="0" w:type="dxa"/>
          </w:tblCellMar>
        </w:tblPrEx>
        <w:trPr>
          <w:trHeight w:val="633" w:hRule="atLeast"/>
        </w:trPr>
        <w:tc>
          <w:tcPr>
            <w:tcW w:w="298" w:type="pct"/>
            <w:tcBorders>
              <w:top w:val="single" w:color="auto" w:sz="8" w:space="0"/>
              <w:left w:val="single" w:color="auto" w:sz="8" w:space="0"/>
              <w:bottom w:val="single" w:color="auto" w:sz="8" w:space="0"/>
              <w:right w:val="single" w:color="auto" w:sz="8" w:space="0"/>
            </w:tcBorders>
            <w:shd w:val="clear" w:color="auto" w:fill="FFFFFF"/>
            <w:noWrap/>
            <w:tcMar>
              <w:left w:w="108" w:type="dxa"/>
              <w:right w:w="108" w:type="dxa"/>
            </w:tcMar>
            <w:vAlign w:val="center"/>
          </w:tcPr>
          <w:p w14:paraId="354D5B9B">
            <w:pPr>
              <w:spacing w:line="5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774" w:type="pct"/>
            <w:tcBorders>
              <w:top w:val="single" w:color="auto" w:sz="8" w:space="0"/>
              <w:left w:val="nil"/>
              <w:bottom w:val="single" w:color="auto" w:sz="8" w:space="0"/>
              <w:right w:val="single" w:color="auto" w:sz="8" w:space="0"/>
            </w:tcBorders>
            <w:shd w:val="clear" w:color="auto" w:fill="FFFFFF"/>
            <w:noWrap/>
            <w:tcMar>
              <w:left w:w="108" w:type="dxa"/>
              <w:right w:w="108" w:type="dxa"/>
            </w:tcMar>
            <w:vAlign w:val="center"/>
          </w:tcPr>
          <w:p w14:paraId="3CD07F03">
            <w:pPr>
              <w:spacing w:line="5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经营资产名称</w:t>
            </w:r>
          </w:p>
        </w:tc>
        <w:tc>
          <w:tcPr>
            <w:tcW w:w="839" w:type="pct"/>
            <w:tcBorders>
              <w:top w:val="single" w:color="auto" w:sz="8" w:space="0"/>
              <w:left w:val="nil"/>
              <w:bottom w:val="single" w:color="auto" w:sz="8" w:space="0"/>
              <w:right w:val="single" w:color="auto" w:sz="8" w:space="0"/>
            </w:tcBorders>
            <w:shd w:val="clear" w:color="auto" w:fill="FFFFFF"/>
            <w:noWrap/>
            <w:tcMar>
              <w:left w:w="108" w:type="dxa"/>
              <w:right w:w="108" w:type="dxa"/>
            </w:tcMar>
            <w:vAlign w:val="center"/>
          </w:tcPr>
          <w:p w14:paraId="08F91E39">
            <w:pPr>
              <w:spacing w:line="5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规格型号</w:t>
            </w:r>
          </w:p>
        </w:tc>
        <w:tc>
          <w:tcPr>
            <w:tcW w:w="725" w:type="pct"/>
            <w:tcBorders>
              <w:top w:val="single" w:color="auto" w:sz="8" w:space="0"/>
              <w:left w:val="nil"/>
              <w:bottom w:val="single" w:color="auto" w:sz="8" w:space="0"/>
              <w:right w:val="single" w:color="auto" w:sz="8" w:space="0"/>
            </w:tcBorders>
            <w:shd w:val="clear" w:color="auto" w:fill="FFFFFF"/>
            <w:noWrap/>
            <w:tcMar>
              <w:left w:w="108" w:type="dxa"/>
              <w:right w:w="108" w:type="dxa"/>
            </w:tcMar>
            <w:vAlign w:val="center"/>
          </w:tcPr>
          <w:p w14:paraId="113A472B">
            <w:pPr>
              <w:spacing w:line="5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751" w:type="pct"/>
            <w:tcBorders>
              <w:top w:val="single" w:color="auto" w:sz="8" w:space="0"/>
              <w:left w:val="nil"/>
              <w:bottom w:val="single" w:color="auto" w:sz="8" w:space="0"/>
              <w:right w:val="single" w:color="auto" w:sz="8" w:space="0"/>
            </w:tcBorders>
            <w:shd w:val="clear" w:color="auto" w:fill="FFFFFF"/>
            <w:noWrap/>
            <w:tcMar>
              <w:left w:w="108" w:type="dxa"/>
              <w:right w:w="108" w:type="dxa"/>
            </w:tcMar>
            <w:vAlign w:val="center"/>
          </w:tcPr>
          <w:p w14:paraId="03A5C240">
            <w:pPr>
              <w:spacing w:line="5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坐落</w:t>
            </w:r>
          </w:p>
        </w:tc>
        <w:tc>
          <w:tcPr>
            <w:tcW w:w="840" w:type="pct"/>
            <w:tcBorders>
              <w:top w:val="single" w:color="auto" w:sz="8" w:space="0"/>
              <w:left w:val="nil"/>
              <w:bottom w:val="single" w:color="auto" w:sz="8" w:space="0"/>
              <w:right w:val="single" w:color="auto" w:sz="8" w:space="0"/>
            </w:tcBorders>
            <w:shd w:val="clear" w:color="auto" w:fill="FFFFFF"/>
            <w:noWrap/>
            <w:tcMar>
              <w:left w:w="108" w:type="dxa"/>
              <w:right w:w="108" w:type="dxa"/>
            </w:tcMar>
            <w:vAlign w:val="center"/>
          </w:tcPr>
          <w:p w14:paraId="3F452D7B">
            <w:pPr>
              <w:spacing w:line="5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现状</w:t>
            </w:r>
          </w:p>
        </w:tc>
        <w:tc>
          <w:tcPr>
            <w:tcW w:w="771" w:type="pct"/>
            <w:tcBorders>
              <w:top w:val="single" w:color="auto" w:sz="8" w:space="0"/>
              <w:left w:val="nil"/>
              <w:bottom w:val="single" w:color="auto" w:sz="4" w:space="0"/>
              <w:right w:val="single" w:color="auto" w:sz="8" w:space="0"/>
            </w:tcBorders>
            <w:shd w:val="clear" w:color="auto" w:fill="FFFFFF"/>
            <w:noWrap/>
            <w:tcMar>
              <w:left w:w="108" w:type="dxa"/>
              <w:right w:w="108" w:type="dxa"/>
            </w:tcMar>
            <w:vAlign w:val="center"/>
          </w:tcPr>
          <w:p w14:paraId="75F1E994">
            <w:pPr>
              <w:spacing w:line="5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14:paraId="7E23ADC1">
        <w:tblPrEx>
          <w:shd w:val="clear" w:color="auto" w:fill="FFFFFF"/>
          <w:tblCellMar>
            <w:top w:w="0" w:type="dxa"/>
            <w:left w:w="0" w:type="dxa"/>
            <w:bottom w:w="0" w:type="dxa"/>
            <w:right w:w="0" w:type="dxa"/>
          </w:tblCellMar>
        </w:tblPrEx>
        <w:trPr>
          <w:trHeight w:val="1988" w:hRule="atLeast"/>
        </w:trPr>
        <w:tc>
          <w:tcPr>
            <w:tcW w:w="298" w:type="pct"/>
            <w:tcBorders>
              <w:top w:val="single" w:color="auto" w:sz="4" w:space="0"/>
              <w:left w:val="single" w:color="auto" w:sz="8" w:space="0"/>
              <w:bottom w:val="single" w:color="auto" w:sz="8" w:space="0"/>
              <w:right w:val="single" w:color="auto" w:sz="8" w:space="0"/>
            </w:tcBorders>
            <w:shd w:val="clear" w:color="auto" w:fill="FFFFFF"/>
            <w:noWrap/>
            <w:tcMar>
              <w:left w:w="108" w:type="dxa"/>
              <w:right w:w="108" w:type="dxa"/>
            </w:tcMar>
            <w:vAlign w:val="center"/>
          </w:tcPr>
          <w:p w14:paraId="4A8371EA">
            <w:pPr>
              <w:widowControl/>
              <w:spacing w:line="540" w:lineRule="exact"/>
              <w:jc w:val="center"/>
              <w:textAlignment w:val="center"/>
              <w:rPr>
                <w:rFonts w:ascii="仿宋_GB2312" w:hAnsi="仿宋_GB2312" w:eastAsia="仿宋_GB2312" w:cs="仿宋_GB2312"/>
                <w:kern w:val="0"/>
              </w:rPr>
            </w:pPr>
            <w:r>
              <w:rPr>
                <w:rFonts w:hint="eastAsia" w:ascii="仿宋_GB2312" w:hAnsi="仿宋_GB2312" w:eastAsia="仿宋_GB2312" w:cs="仿宋_GB2312"/>
                <w:kern w:val="0"/>
              </w:rPr>
              <w:t>1</w:t>
            </w:r>
          </w:p>
        </w:tc>
        <w:tc>
          <w:tcPr>
            <w:tcW w:w="774" w:type="pct"/>
            <w:tcBorders>
              <w:left w:val="nil"/>
              <w:bottom w:val="single" w:color="auto" w:sz="8" w:space="0"/>
              <w:right w:val="single" w:color="auto" w:sz="8" w:space="0"/>
            </w:tcBorders>
            <w:shd w:val="clear" w:color="auto" w:fill="FFFFFF"/>
            <w:noWrap/>
            <w:tcMar>
              <w:left w:w="108" w:type="dxa"/>
              <w:right w:w="108" w:type="dxa"/>
            </w:tcMar>
            <w:vAlign w:val="center"/>
          </w:tcPr>
          <w:p w14:paraId="5A98205E">
            <w:pPr>
              <w:widowControl/>
              <w:spacing w:line="540" w:lineRule="exact"/>
              <w:jc w:val="center"/>
              <w:textAlignment w:val="center"/>
              <w:rPr>
                <w:rFonts w:ascii="仿宋_GB2312" w:hAnsi="仿宋_GB2312" w:eastAsia="仿宋_GB2312" w:cs="仿宋_GB2312"/>
              </w:rPr>
            </w:pPr>
            <w:r>
              <w:rPr>
                <w:rFonts w:hint="eastAsia" w:ascii="仿宋_GB2312" w:hAnsi="仿宋_GB2312" w:eastAsia="仿宋_GB2312" w:cs="仿宋_GB2312"/>
              </w:rPr>
              <w:t>阻隔防爆撬装加油装置</w:t>
            </w:r>
          </w:p>
        </w:tc>
        <w:tc>
          <w:tcPr>
            <w:tcW w:w="839" w:type="pct"/>
            <w:tcBorders>
              <w:top w:val="single" w:color="auto" w:sz="4" w:space="0"/>
              <w:left w:val="nil"/>
              <w:bottom w:val="single" w:color="auto" w:sz="8" w:space="0"/>
              <w:right w:val="single" w:color="auto" w:sz="8" w:space="0"/>
            </w:tcBorders>
            <w:shd w:val="clear" w:color="auto" w:fill="FFFFFF"/>
            <w:noWrap/>
            <w:tcMar>
              <w:left w:w="108" w:type="dxa"/>
              <w:right w:w="108" w:type="dxa"/>
            </w:tcMar>
            <w:vAlign w:val="center"/>
          </w:tcPr>
          <w:p w14:paraId="0A08F84B">
            <w:pPr>
              <w:widowControl/>
              <w:spacing w:line="540" w:lineRule="exact"/>
              <w:jc w:val="center"/>
              <w:textAlignment w:val="center"/>
              <w:rPr>
                <w:rFonts w:ascii="仿宋_GB2312" w:hAnsi="仿宋_GB2312" w:eastAsia="仿宋_GB2312" w:cs="仿宋_GB2312"/>
                <w:color w:val="333333"/>
              </w:rPr>
            </w:pPr>
            <w:r>
              <w:rPr>
                <w:rFonts w:hint="eastAsia" w:ascii="仿宋_GB2312" w:hAnsi="仿宋_GB2312" w:eastAsia="仿宋_GB2312" w:cs="仿宋_GB2312"/>
              </w:rPr>
              <w:t>双仓，20m³</w:t>
            </w:r>
          </w:p>
        </w:tc>
        <w:tc>
          <w:tcPr>
            <w:tcW w:w="725" w:type="pct"/>
            <w:tcBorders>
              <w:top w:val="single" w:color="auto" w:sz="4" w:space="0"/>
              <w:left w:val="nil"/>
              <w:bottom w:val="single" w:color="auto" w:sz="8" w:space="0"/>
              <w:right w:val="single" w:color="auto" w:sz="8" w:space="0"/>
            </w:tcBorders>
            <w:shd w:val="clear" w:color="auto" w:fill="FFFFFF"/>
            <w:noWrap/>
            <w:tcMar>
              <w:left w:w="108" w:type="dxa"/>
              <w:right w:w="108" w:type="dxa"/>
            </w:tcMar>
            <w:vAlign w:val="center"/>
          </w:tcPr>
          <w:p w14:paraId="35437D63">
            <w:pPr>
              <w:widowControl/>
              <w:spacing w:line="540" w:lineRule="exact"/>
              <w:jc w:val="center"/>
              <w:textAlignment w:val="center"/>
              <w:rPr>
                <w:rFonts w:ascii="仿宋_GB2312" w:hAnsi="仿宋_GB2312" w:eastAsia="仿宋_GB2312" w:cs="仿宋_GB2312"/>
                <w:color w:val="333333"/>
              </w:rPr>
            </w:pPr>
            <w:r>
              <w:rPr>
                <w:rFonts w:hint="eastAsia" w:ascii="仿宋_GB2312" w:hAnsi="仿宋_GB2312" w:eastAsia="仿宋_GB2312" w:cs="仿宋_GB2312"/>
                <w:color w:val="333333"/>
              </w:rPr>
              <w:t>1</w:t>
            </w:r>
          </w:p>
        </w:tc>
        <w:tc>
          <w:tcPr>
            <w:tcW w:w="751" w:type="pct"/>
            <w:tcBorders>
              <w:top w:val="single" w:color="auto" w:sz="4" w:space="0"/>
              <w:left w:val="nil"/>
              <w:bottom w:val="single" w:color="auto" w:sz="8" w:space="0"/>
              <w:right w:val="single" w:color="auto" w:sz="8" w:space="0"/>
            </w:tcBorders>
            <w:shd w:val="clear" w:color="auto" w:fill="FFFFFF"/>
            <w:noWrap/>
            <w:tcMar>
              <w:left w:w="108" w:type="dxa"/>
              <w:right w:w="108" w:type="dxa"/>
            </w:tcMar>
            <w:vAlign w:val="center"/>
          </w:tcPr>
          <w:p w14:paraId="7F69717C">
            <w:pPr>
              <w:widowControl/>
              <w:spacing w:line="540" w:lineRule="exact"/>
              <w:jc w:val="center"/>
              <w:textAlignment w:val="center"/>
              <w:rPr>
                <w:rFonts w:ascii="仿宋_GB2312" w:hAnsi="仿宋_GB2312" w:eastAsia="仿宋_GB2312" w:cs="仿宋_GB2312"/>
                <w:color w:val="333333"/>
              </w:rPr>
            </w:pPr>
            <w:r>
              <w:rPr>
                <w:rFonts w:hint="eastAsia" w:ascii="仿宋_GB2312" w:hAnsi="仿宋_GB2312" w:eastAsia="仿宋_GB2312" w:cs="仿宋_GB2312"/>
                <w:color w:val="333333"/>
              </w:rPr>
              <w:t>龙岩市新罗区</w:t>
            </w:r>
          </w:p>
        </w:tc>
        <w:tc>
          <w:tcPr>
            <w:tcW w:w="840" w:type="pct"/>
            <w:tcBorders>
              <w:top w:val="single" w:color="auto" w:sz="4" w:space="0"/>
              <w:left w:val="nil"/>
              <w:bottom w:val="single" w:color="auto" w:sz="8" w:space="0"/>
              <w:right w:val="single" w:color="auto" w:sz="8" w:space="0"/>
            </w:tcBorders>
            <w:shd w:val="clear" w:color="auto" w:fill="FFFFFF"/>
            <w:noWrap/>
            <w:tcMar>
              <w:left w:w="108" w:type="dxa"/>
              <w:right w:w="108" w:type="dxa"/>
            </w:tcMar>
            <w:vAlign w:val="center"/>
          </w:tcPr>
          <w:p w14:paraId="771C9044">
            <w:pPr>
              <w:widowControl/>
              <w:spacing w:line="540" w:lineRule="exact"/>
              <w:jc w:val="center"/>
              <w:textAlignment w:val="center"/>
              <w:rPr>
                <w:rFonts w:ascii="仿宋_GB2312" w:hAnsi="仿宋_GB2312" w:eastAsia="仿宋_GB2312" w:cs="仿宋_GB2312"/>
                <w:color w:val="333333"/>
              </w:rPr>
            </w:pPr>
            <w:r>
              <w:rPr>
                <w:rFonts w:hint="eastAsia" w:ascii="仿宋_GB2312" w:hAnsi="仿宋_GB2312" w:eastAsia="仿宋_GB2312" w:cs="仿宋_GB2312"/>
                <w:color w:val="333333"/>
              </w:rPr>
              <w:t>闲置状态</w:t>
            </w:r>
          </w:p>
        </w:tc>
        <w:tc>
          <w:tcPr>
            <w:tcW w:w="771" w:type="pct"/>
            <w:tcBorders>
              <w:top w:val="single" w:color="auto" w:sz="4" w:space="0"/>
              <w:left w:val="single" w:color="auto" w:sz="4" w:space="0"/>
              <w:bottom w:val="single" w:color="auto" w:sz="4" w:space="0"/>
              <w:right w:val="single" w:color="auto" w:sz="4" w:space="0"/>
            </w:tcBorders>
            <w:shd w:val="clear" w:color="auto" w:fill="FFFFFF"/>
            <w:noWrap/>
            <w:tcMar>
              <w:left w:w="108" w:type="dxa"/>
              <w:right w:w="108" w:type="dxa"/>
            </w:tcMar>
            <w:vAlign w:val="center"/>
          </w:tcPr>
          <w:p w14:paraId="051D441A">
            <w:pPr>
              <w:widowControl/>
              <w:spacing w:line="540" w:lineRule="exact"/>
              <w:jc w:val="left"/>
              <w:textAlignment w:val="center"/>
              <w:rPr>
                <w:rFonts w:ascii="仿宋_GB2312" w:hAnsi="仿宋_GB2312" w:eastAsia="仿宋_GB2312" w:cs="仿宋_GB2312"/>
                <w:color w:val="333333"/>
              </w:rPr>
            </w:pPr>
          </w:p>
        </w:tc>
      </w:tr>
    </w:tbl>
    <w:p w14:paraId="5643AB64">
      <w:pPr>
        <w:spacing w:line="360" w:lineRule="auto"/>
        <w:ind w:firstLine="480" w:firstLineChars="200"/>
        <w:rPr>
          <w:rFonts w:asciiTheme="minorEastAsia" w:hAnsiTheme="minorEastAsia" w:eastAsiaTheme="minorEastAsia"/>
          <w:color w:val="auto"/>
        </w:rPr>
      </w:pPr>
      <w:r>
        <w:rPr>
          <w:rFonts w:hint="eastAsia" w:asciiTheme="minorEastAsia" w:hAnsiTheme="minorEastAsia" w:eastAsiaTheme="minorEastAsia"/>
          <w:color w:val="auto"/>
        </w:rPr>
        <w:t>甲方保证：本转让资产权属清晰，无抵押、查封、冻结、留置、租赁、担保等权利限制及权属纠纷；资产处置已完成内部审批及产权交易中心全部流程，转让行为合法有效。若因权属、手续问题引发纠纷，由甲方承担全部法律责任与经济损失。</w:t>
      </w:r>
    </w:p>
    <w:p w14:paraId="46E33512">
      <w:pPr>
        <w:spacing w:line="360" w:lineRule="auto"/>
        <w:ind w:firstLine="480" w:firstLineChars="200"/>
        <w:rPr>
          <w:rFonts w:asciiTheme="minorEastAsia" w:hAnsiTheme="minorEastAsia" w:eastAsiaTheme="minorEastAsia"/>
          <w:color w:val="auto"/>
        </w:rPr>
      </w:pPr>
      <w:r>
        <w:rPr>
          <w:rFonts w:hint="eastAsia" w:asciiTheme="minorEastAsia" w:hAnsiTheme="minorEastAsia" w:eastAsiaTheme="minorEastAsia"/>
          <w:color w:val="auto"/>
        </w:rPr>
        <w:t>乙方已实地查验资产现状，充分了解资产品质、瑕疵、使用状态等全部情况，自愿按现状受让。</w:t>
      </w:r>
    </w:p>
    <w:p w14:paraId="1BD5BF60">
      <w:pPr>
        <w:spacing w:line="360" w:lineRule="auto"/>
        <w:outlineLvl w:val="0"/>
        <w:rPr>
          <w:rFonts w:asciiTheme="minorEastAsia" w:hAnsiTheme="minorEastAsia" w:eastAsiaTheme="minorEastAsia"/>
          <w:b/>
          <w:bCs/>
          <w:color w:val="auto"/>
          <w:sz w:val="28"/>
        </w:rPr>
      </w:pPr>
      <w:r>
        <w:rPr>
          <w:rFonts w:hint="eastAsia" w:asciiTheme="minorEastAsia" w:hAnsiTheme="minorEastAsia" w:eastAsiaTheme="minorEastAsia"/>
          <w:b/>
          <w:bCs/>
          <w:color w:val="auto"/>
          <w:sz w:val="28"/>
        </w:rPr>
        <w:t>第二条  转让价款及支付方式</w:t>
      </w:r>
    </w:p>
    <w:p w14:paraId="0C683892">
      <w:pPr>
        <w:spacing w:line="360" w:lineRule="auto"/>
        <w:ind w:firstLine="480" w:firstLineChars="200"/>
        <w:outlineLvl w:val="0"/>
        <w:rPr>
          <w:rFonts w:asciiTheme="minorEastAsia" w:hAnsiTheme="minorEastAsia" w:eastAsiaTheme="minorEastAsia"/>
          <w:color w:val="auto"/>
        </w:rPr>
      </w:pPr>
      <w:r>
        <w:rPr>
          <w:rFonts w:hint="eastAsia" w:asciiTheme="minorEastAsia" w:hAnsiTheme="minorEastAsia" w:eastAsiaTheme="minorEastAsia"/>
          <w:color w:val="auto"/>
        </w:rPr>
        <w:t>1.本项资产公开</w:t>
      </w:r>
      <w:r>
        <w:rPr>
          <w:rFonts w:hint="eastAsia" w:asciiTheme="minorEastAsia" w:hAnsiTheme="minorEastAsia" w:eastAsiaTheme="minorEastAsia"/>
          <w:color w:val="auto"/>
          <w:lang w:val="en-US" w:eastAsia="zh-CN"/>
        </w:rPr>
        <w:t>竞价</w:t>
      </w:r>
      <w:r>
        <w:rPr>
          <w:rFonts w:hint="eastAsia" w:asciiTheme="minorEastAsia" w:hAnsiTheme="minorEastAsia" w:eastAsiaTheme="minorEastAsia"/>
          <w:color w:val="auto"/>
        </w:rPr>
        <w:t>最终成交总价：人民币__________元（大写：________________________）。</w:t>
      </w:r>
    </w:p>
    <w:p w14:paraId="06E013C0">
      <w:pPr>
        <w:pStyle w:val="4"/>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rPr>
        <w:t>2.付款方式：</w:t>
      </w:r>
      <w:r>
        <w:rPr>
          <w:rFonts w:hint="eastAsia"/>
          <w:lang w:val="en-US" w:eastAsia="zh-CN"/>
        </w:rPr>
        <w:t>乙方须在本合同签订前，将全部转让价款一次性支付至</w:t>
      </w:r>
      <w:r>
        <w:rPr>
          <w:rFonts w:hint="eastAsia" w:asciiTheme="minorEastAsia" w:hAnsiTheme="minorEastAsia" w:eastAsiaTheme="minorEastAsia"/>
          <w:color w:val="auto"/>
        </w:rPr>
        <w:t>龙岩市产权交易中心</w:t>
      </w:r>
      <w:r>
        <w:rPr>
          <w:rFonts w:hint="eastAsia" w:asciiTheme="minorEastAsia" w:hAnsiTheme="minorEastAsia" w:eastAsiaTheme="minorEastAsia"/>
          <w:color w:val="auto"/>
          <w:lang w:val="en-US" w:eastAsia="zh-CN"/>
        </w:rPr>
        <w:t>有限公司指定账户。甲乙双方资产交割完成后，龙岩市产权交易中心有限公司在收到书面通知之日起三个工作日内价款一次性支付至甲方指定账户。</w:t>
      </w:r>
    </w:p>
    <w:p w14:paraId="7177C873">
      <w:pPr>
        <w:spacing w:line="360" w:lineRule="auto"/>
        <w:ind w:firstLine="480" w:firstLineChars="200"/>
        <w:outlineLvl w:val="0"/>
        <w:rPr>
          <w:rFonts w:asciiTheme="minorEastAsia" w:hAnsiTheme="minorEastAsia" w:eastAsiaTheme="minorEastAsia"/>
          <w:color w:val="auto"/>
        </w:rPr>
      </w:pPr>
      <w:r>
        <w:rPr>
          <w:rFonts w:asciiTheme="minorEastAsia" w:hAnsiTheme="minorEastAsia" w:eastAsiaTheme="minorEastAsia"/>
          <w:color w:val="000000" w:themeColor="text1"/>
          <w14:textFill>
            <w14:solidFill>
              <w14:schemeClr w14:val="tx1"/>
            </w14:solidFill>
          </w14:textFill>
        </w:rPr>
        <w:t>甲方在收到</w:t>
      </w:r>
      <w:r>
        <w:rPr>
          <w:rFonts w:hint="eastAsia" w:asciiTheme="minorEastAsia" w:hAnsiTheme="minorEastAsia" w:eastAsiaTheme="minorEastAsia"/>
          <w:color w:val="auto"/>
        </w:rPr>
        <w:t>龙岩市产权交易中心</w:t>
      </w:r>
      <w:r>
        <w:rPr>
          <w:rFonts w:hint="eastAsia" w:asciiTheme="minorEastAsia" w:hAnsiTheme="minorEastAsia" w:eastAsiaTheme="minorEastAsia"/>
          <w:color w:val="auto"/>
          <w:lang w:val="en-US" w:eastAsia="zh-CN"/>
        </w:rPr>
        <w:t>有限公司</w:t>
      </w:r>
      <w:r>
        <w:rPr>
          <w:rFonts w:asciiTheme="minorEastAsia" w:hAnsiTheme="minorEastAsia" w:eastAsiaTheme="minorEastAsia"/>
          <w:color w:val="000000" w:themeColor="text1"/>
          <w14:textFill>
            <w14:solidFill>
              <w14:schemeClr w14:val="tx1"/>
            </w14:solidFill>
          </w14:textFill>
        </w:rPr>
        <w:t>足额付款后【十五】个</w:t>
      </w:r>
      <w:r>
        <w:rPr>
          <w:rFonts w:hint="eastAsia" w:asciiTheme="minorEastAsia" w:hAnsiTheme="minorEastAsia" w:eastAsiaTheme="minorEastAsia"/>
          <w:color w:val="000000" w:themeColor="text1"/>
          <w:lang w:val="en-US" w:eastAsia="zh-CN"/>
          <w14:textFill>
            <w14:solidFill>
              <w14:schemeClr w14:val="tx1"/>
            </w14:solidFill>
          </w14:textFill>
        </w:rPr>
        <w:t>工作</w:t>
      </w:r>
      <w:r>
        <w:rPr>
          <w:rFonts w:asciiTheme="minorEastAsia" w:hAnsiTheme="minorEastAsia" w:eastAsiaTheme="minorEastAsia"/>
          <w:color w:val="000000" w:themeColor="text1"/>
          <w14:textFill>
            <w14:solidFill>
              <w14:schemeClr w14:val="tx1"/>
            </w14:solidFill>
          </w14:textFill>
        </w:rPr>
        <w:t>日内，应向乙方提供符合法律规定及交易内容的正式发票。</w:t>
      </w:r>
    </w:p>
    <w:p w14:paraId="19A4B50C">
      <w:pPr>
        <w:spacing w:line="360" w:lineRule="auto"/>
        <w:ind w:firstLine="480" w:firstLineChars="200"/>
        <w:outlineLvl w:val="0"/>
        <w:rPr>
          <w:rFonts w:asciiTheme="minorEastAsia" w:hAnsiTheme="minorEastAsia" w:eastAsiaTheme="minorEastAsia"/>
          <w:color w:val="auto"/>
        </w:rPr>
      </w:pPr>
      <w:r>
        <w:rPr>
          <w:rFonts w:hint="eastAsia" w:asciiTheme="minorEastAsia" w:hAnsiTheme="minorEastAsia" w:eastAsiaTheme="minorEastAsia"/>
          <w:color w:val="auto"/>
        </w:rPr>
        <w:t>开户名：福建龙洲海油新能源有限公司</w:t>
      </w:r>
    </w:p>
    <w:p w14:paraId="09340EA4">
      <w:pPr>
        <w:spacing w:line="360" w:lineRule="auto"/>
        <w:ind w:firstLine="480" w:firstLineChars="200"/>
        <w:outlineLvl w:val="0"/>
        <w:rPr>
          <w:rFonts w:asciiTheme="minorEastAsia" w:hAnsiTheme="minorEastAsia" w:eastAsiaTheme="minorEastAsia"/>
          <w:color w:val="auto"/>
        </w:rPr>
      </w:pPr>
      <w:r>
        <w:rPr>
          <w:rFonts w:hint="eastAsia" w:asciiTheme="minorEastAsia" w:hAnsiTheme="minorEastAsia" w:eastAsiaTheme="minorEastAsia"/>
          <w:color w:val="auto"/>
        </w:rPr>
        <w:t>开户行：兴业银行龙岩分行</w:t>
      </w:r>
    </w:p>
    <w:p w14:paraId="2A68F4A8">
      <w:pPr>
        <w:spacing w:line="360" w:lineRule="auto"/>
        <w:ind w:firstLine="480" w:firstLineChars="200"/>
        <w:outlineLvl w:val="0"/>
        <w:rPr>
          <w:rFonts w:asciiTheme="minorEastAsia" w:hAnsiTheme="minorEastAsia" w:eastAsiaTheme="minorEastAsia"/>
          <w:color w:val="auto"/>
        </w:rPr>
      </w:pPr>
      <w:r>
        <w:rPr>
          <w:rFonts w:hint="eastAsia" w:asciiTheme="minorEastAsia" w:hAnsiTheme="minorEastAsia" w:eastAsiaTheme="minorEastAsia"/>
          <w:color w:val="auto"/>
        </w:rPr>
        <w:t>账  号：171100100100381616</w:t>
      </w:r>
    </w:p>
    <w:p w14:paraId="221A0F85">
      <w:pPr>
        <w:spacing w:line="360" w:lineRule="auto"/>
        <w:ind w:firstLine="480" w:firstLineChars="200"/>
        <w:outlineLvl w:val="0"/>
        <w:rPr>
          <w:rFonts w:asciiTheme="minorEastAsia" w:hAnsiTheme="minorEastAsia" w:eastAsiaTheme="minorEastAsia"/>
          <w:color w:val="auto"/>
        </w:rPr>
      </w:pPr>
      <w:r>
        <w:rPr>
          <w:rFonts w:hint="eastAsia" w:asciiTheme="minorEastAsia" w:hAnsiTheme="minorEastAsia" w:eastAsiaTheme="minorEastAsia"/>
          <w:color w:val="auto"/>
        </w:rPr>
        <w:t>3.付款以款项实际到账为准，逾期付款视为乙方违约。</w:t>
      </w:r>
    </w:p>
    <w:p w14:paraId="7A71C80D">
      <w:pPr>
        <w:spacing w:line="360" w:lineRule="auto"/>
        <w:outlineLvl w:val="0"/>
        <w:rPr>
          <w:rFonts w:asciiTheme="minorEastAsia" w:hAnsiTheme="minorEastAsia" w:eastAsiaTheme="minorEastAsia"/>
          <w:b/>
          <w:bCs/>
          <w:color w:val="auto"/>
          <w:sz w:val="28"/>
        </w:rPr>
      </w:pPr>
      <w:r>
        <w:rPr>
          <w:rFonts w:hint="eastAsia" w:asciiTheme="minorEastAsia" w:hAnsiTheme="minorEastAsia" w:eastAsiaTheme="minorEastAsia"/>
          <w:b/>
          <w:bCs/>
          <w:color w:val="auto"/>
          <w:sz w:val="28"/>
        </w:rPr>
        <w:t>第三条  税费及相关费用承担</w:t>
      </w:r>
    </w:p>
    <w:p w14:paraId="44113F97">
      <w:pPr>
        <w:spacing w:line="360" w:lineRule="auto"/>
        <w:ind w:firstLine="480" w:firstLineChars="200"/>
        <w:outlineLvl w:val="0"/>
        <w:rPr>
          <w:rFonts w:asciiTheme="minorEastAsia" w:hAnsiTheme="minorEastAsia" w:eastAsiaTheme="minorEastAsia"/>
          <w:color w:val="auto"/>
        </w:rPr>
      </w:pPr>
      <w:r>
        <w:rPr>
          <w:rFonts w:asciiTheme="minorEastAsia" w:hAnsiTheme="minorEastAsia" w:eastAsiaTheme="minorEastAsia"/>
          <w:color w:val="auto"/>
        </w:rPr>
        <w:t>1</w:t>
      </w:r>
      <w:r>
        <w:rPr>
          <w:rFonts w:hint="eastAsia" w:asciiTheme="minorEastAsia" w:hAnsiTheme="minorEastAsia" w:eastAsiaTheme="minorEastAsia"/>
          <w:color w:val="auto"/>
          <w:lang w:val="en-US" w:eastAsia="zh-CN"/>
        </w:rPr>
        <w:t>.</w:t>
      </w:r>
      <w:r>
        <w:rPr>
          <w:rFonts w:hint="eastAsia" w:ascii="宋体" w:hAnsi="宋体" w:eastAsia="宋体" w:cs="宋体"/>
          <w:i w:val="0"/>
          <w:iCs w:val="0"/>
          <w:caps w:val="0"/>
          <w:color w:val="000000"/>
          <w:spacing w:val="0"/>
          <w:kern w:val="0"/>
          <w:sz w:val="24"/>
          <w:szCs w:val="24"/>
          <w:u w:val="none"/>
          <w:shd w:val="clear" w:color="auto" w:fill="FFFFFF"/>
          <w:lang w:val="en-US" w:eastAsia="zh-CN" w:bidi="ar"/>
        </w:rPr>
        <w:t>本次标的竞价转让过程所产生的税费按国家相关法律法规规定的纳税义务人承担，没有规定的由乙方承担</w:t>
      </w:r>
      <w:r>
        <w:rPr>
          <w:rFonts w:hint="eastAsia" w:ascii="宋体" w:hAnsi="宋体" w:cs="宋体"/>
          <w:i w:val="0"/>
          <w:iCs w:val="0"/>
          <w:caps w:val="0"/>
          <w:color w:val="000000"/>
          <w:spacing w:val="0"/>
          <w:kern w:val="0"/>
          <w:sz w:val="24"/>
          <w:szCs w:val="24"/>
          <w:u w:val="none"/>
          <w:shd w:val="clear" w:color="auto" w:fill="FFFFFF"/>
          <w:lang w:val="en-US" w:eastAsia="zh-CN" w:bidi="ar"/>
        </w:rPr>
        <w:t>。</w:t>
      </w:r>
    </w:p>
    <w:p w14:paraId="08DC5234">
      <w:pPr>
        <w:spacing w:line="360" w:lineRule="auto"/>
        <w:ind w:firstLine="480" w:firstLineChars="200"/>
        <w:outlineLvl w:val="0"/>
        <w:rPr>
          <w:rFonts w:asciiTheme="minorEastAsia" w:hAnsiTheme="minorEastAsia" w:eastAsiaTheme="minorEastAsia"/>
          <w:color w:val="auto"/>
        </w:rPr>
      </w:pPr>
      <w:r>
        <w:rPr>
          <w:rFonts w:asciiTheme="minorEastAsia" w:hAnsiTheme="minorEastAsia" w:eastAsiaTheme="minorEastAsia"/>
          <w:color w:val="auto"/>
        </w:rPr>
        <w:t>2.资产拆卸、搬运、清运、场地清理、运输、安装等交割相关费用，均由乙方承担。</w:t>
      </w:r>
    </w:p>
    <w:p w14:paraId="702423A6">
      <w:pPr>
        <w:spacing w:line="360" w:lineRule="auto"/>
        <w:outlineLvl w:val="0"/>
        <w:rPr>
          <w:rFonts w:asciiTheme="minorEastAsia" w:hAnsiTheme="minorEastAsia" w:eastAsiaTheme="minorEastAsia"/>
          <w:b/>
          <w:bCs/>
          <w:color w:val="auto"/>
          <w:sz w:val="28"/>
        </w:rPr>
      </w:pPr>
      <w:r>
        <w:rPr>
          <w:rFonts w:hint="eastAsia" w:asciiTheme="minorEastAsia" w:hAnsiTheme="minorEastAsia" w:eastAsiaTheme="minorEastAsia"/>
          <w:b/>
          <w:bCs/>
          <w:color w:val="auto"/>
          <w:sz w:val="28"/>
        </w:rPr>
        <w:t>第四条  资产交割</w:t>
      </w:r>
    </w:p>
    <w:p w14:paraId="135D9202">
      <w:pPr>
        <w:spacing w:line="360" w:lineRule="auto"/>
        <w:ind w:firstLine="480" w:firstLineChars="200"/>
        <w:outlineLvl w:val="0"/>
        <w:rPr>
          <w:rFonts w:asciiTheme="minorEastAsia" w:hAnsiTheme="minorEastAsia" w:eastAsiaTheme="minorEastAsia"/>
          <w:color w:val="auto"/>
        </w:rPr>
      </w:pPr>
      <w:r>
        <w:rPr>
          <w:rFonts w:hint="eastAsia" w:asciiTheme="minorEastAsia" w:hAnsiTheme="minorEastAsia" w:eastAsiaTheme="minorEastAsia"/>
          <w:color w:val="auto"/>
        </w:rPr>
        <w:t>1.乙方全额付清转让价款及约定费用后5个工作日内，甲乙双方共同办理资产现场交接，签署《资产交割确认书》。</w:t>
      </w:r>
    </w:p>
    <w:p w14:paraId="23E7339E">
      <w:pPr>
        <w:spacing w:line="360" w:lineRule="auto"/>
        <w:ind w:firstLine="480" w:firstLineChars="200"/>
        <w:outlineLvl w:val="0"/>
        <w:rPr>
          <w:rFonts w:asciiTheme="minorEastAsia" w:hAnsiTheme="minorEastAsia" w:eastAsiaTheme="minorEastAsia"/>
          <w:color w:val="auto"/>
        </w:rPr>
      </w:pPr>
      <w:r>
        <w:rPr>
          <w:rFonts w:hint="eastAsia" w:asciiTheme="minorEastAsia" w:hAnsiTheme="minorEastAsia" w:eastAsiaTheme="minorEastAsia"/>
          <w:color w:val="auto"/>
        </w:rPr>
        <w:t>2.资产按现状交付，交付完成之日起，资产所有权、使用权、保管责任、安全风险及一切衍生责任全部转移至乙方。</w:t>
      </w:r>
    </w:p>
    <w:p w14:paraId="4ADB4E79">
      <w:pPr>
        <w:spacing w:line="360" w:lineRule="auto"/>
        <w:ind w:firstLine="480" w:firstLineChars="200"/>
        <w:outlineLvl w:val="0"/>
        <w:rPr>
          <w:rFonts w:asciiTheme="minorEastAsia" w:hAnsiTheme="minorEastAsia" w:eastAsiaTheme="minorEastAsia"/>
          <w:color w:val="auto"/>
        </w:rPr>
      </w:pPr>
      <w:r>
        <w:rPr>
          <w:rFonts w:hint="eastAsia" w:asciiTheme="minorEastAsia" w:hAnsiTheme="minorEastAsia" w:eastAsiaTheme="minorEastAsia"/>
          <w:color w:val="auto"/>
        </w:rPr>
        <w:t>3.交割前资产产生的费用、风险、责任由甲方承担；交割后由乙方承担。</w:t>
      </w:r>
    </w:p>
    <w:p w14:paraId="3318F7AC">
      <w:pPr>
        <w:spacing w:line="360" w:lineRule="auto"/>
        <w:ind w:firstLine="480" w:firstLineChars="200"/>
        <w:outlineLvl w:val="0"/>
        <w:rPr>
          <w:rFonts w:asciiTheme="minorEastAsia" w:hAnsiTheme="minorEastAsia" w:eastAsiaTheme="minorEastAsia"/>
          <w:color w:val="auto"/>
        </w:rPr>
      </w:pPr>
      <w:r>
        <w:rPr>
          <w:rFonts w:hint="eastAsia" w:asciiTheme="minorEastAsia" w:hAnsiTheme="minorEastAsia" w:eastAsiaTheme="minorEastAsia"/>
          <w:color w:val="auto"/>
        </w:rPr>
        <w:t>4.如需办理权属变更、备案等手续，乙方负责办理并承担全部费用，甲方予以配合。</w:t>
      </w:r>
    </w:p>
    <w:p w14:paraId="7676FCE6">
      <w:pPr>
        <w:spacing w:line="360" w:lineRule="auto"/>
        <w:outlineLvl w:val="0"/>
        <w:rPr>
          <w:rFonts w:asciiTheme="minorEastAsia" w:hAnsiTheme="minorEastAsia" w:eastAsiaTheme="minorEastAsia"/>
          <w:b/>
          <w:bCs/>
          <w:color w:val="auto"/>
          <w:sz w:val="28"/>
        </w:rPr>
      </w:pPr>
      <w:r>
        <w:rPr>
          <w:rFonts w:hint="eastAsia" w:asciiTheme="minorEastAsia" w:hAnsiTheme="minorEastAsia" w:eastAsiaTheme="minorEastAsia"/>
          <w:b/>
          <w:bCs/>
          <w:color w:val="auto"/>
          <w:sz w:val="28"/>
        </w:rPr>
        <w:t>第五条  双方权利与义务</w:t>
      </w:r>
    </w:p>
    <w:p w14:paraId="29C4048F">
      <w:pPr>
        <w:spacing w:line="360" w:lineRule="auto"/>
        <w:ind w:firstLine="240" w:firstLineChars="100"/>
        <w:outlineLvl w:val="0"/>
        <w:rPr>
          <w:rFonts w:asciiTheme="minorEastAsia" w:hAnsiTheme="minorEastAsia" w:eastAsiaTheme="minorEastAsia"/>
          <w:bCs/>
          <w:color w:val="auto"/>
        </w:rPr>
      </w:pPr>
      <w:r>
        <w:rPr>
          <w:rFonts w:hint="eastAsia" w:asciiTheme="minorEastAsia" w:hAnsiTheme="minorEastAsia" w:eastAsiaTheme="minorEastAsia"/>
          <w:bCs/>
          <w:color w:val="auto"/>
        </w:rPr>
        <w:t>（一）甲方权利义务</w:t>
      </w:r>
    </w:p>
    <w:p w14:paraId="5477268A">
      <w:pPr>
        <w:spacing w:line="360" w:lineRule="auto"/>
        <w:ind w:firstLine="480" w:firstLineChars="200"/>
        <w:outlineLvl w:val="0"/>
        <w:rPr>
          <w:rFonts w:asciiTheme="minorEastAsia" w:hAnsiTheme="minorEastAsia" w:eastAsiaTheme="minorEastAsia"/>
          <w:bCs/>
          <w:color w:val="auto"/>
        </w:rPr>
      </w:pPr>
      <w:r>
        <w:rPr>
          <w:rFonts w:hint="eastAsia" w:asciiTheme="minorEastAsia" w:hAnsiTheme="minorEastAsia" w:eastAsiaTheme="minorEastAsia"/>
          <w:bCs/>
          <w:color w:val="auto"/>
        </w:rPr>
        <w:t>1.按合同约定交付资产及相关权属资料、原始凭证等。</w:t>
      </w:r>
    </w:p>
    <w:p w14:paraId="2C385DED">
      <w:pPr>
        <w:spacing w:line="360" w:lineRule="auto"/>
        <w:ind w:firstLine="480" w:firstLineChars="200"/>
        <w:outlineLvl w:val="0"/>
        <w:rPr>
          <w:rFonts w:asciiTheme="minorEastAsia" w:hAnsiTheme="minorEastAsia" w:eastAsiaTheme="minorEastAsia"/>
          <w:bCs/>
          <w:color w:val="auto"/>
        </w:rPr>
      </w:pPr>
      <w:r>
        <w:rPr>
          <w:rFonts w:hint="eastAsia" w:asciiTheme="minorEastAsia" w:hAnsiTheme="minorEastAsia" w:eastAsiaTheme="minorEastAsia"/>
          <w:bCs/>
          <w:color w:val="auto"/>
        </w:rPr>
        <w:t>2.配合乙方完成资产查验、交割、手续办理等工作。</w:t>
      </w:r>
    </w:p>
    <w:p w14:paraId="218A9003">
      <w:pPr>
        <w:spacing w:line="360" w:lineRule="auto"/>
        <w:ind w:firstLine="480" w:firstLineChars="200"/>
        <w:outlineLvl w:val="0"/>
        <w:rPr>
          <w:rFonts w:asciiTheme="minorEastAsia" w:hAnsiTheme="minorEastAsia" w:eastAsiaTheme="minorEastAsia"/>
          <w:bCs/>
          <w:color w:val="auto"/>
        </w:rPr>
      </w:pPr>
      <w:r>
        <w:rPr>
          <w:rFonts w:hint="eastAsia" w:asciiTheme="minorEastAsia" w:hAnsiTheme="minorEastAsia" w:eastAsiaTheme="minorEastAsia"/>
          <w:bCs/>
          <w:color w:val="auto"/>
        </w:rPr>
        <w:t>3.按时足额收取转让价款。</w:t>
      </w:r>
    </w:p>
    <w:p w14:paraId="42A90C0A">
      <w:pPr>
        <w:spacing w:line="360" w:lineRule="auto"/>
        <w:ind w:firstLine="480" w:firstLineChars="200"/>
        <w:outlineLvl w:val="0"/>
        <w:rPr>
          <w:rFonts w:asciiTheme="minorEastAsia" w:hAnsiTheme="minorEastAsia" w:eastAsiaTheme="minorEastAsia"/>
          <w:bCs/>
          <w:color w:val="auto"/>
        </w:rPr>
      </w:pPr>
      <w:r>
        <w:rPr>
          <w:rFonts w:hint="eastAsia" w:asciiTheme="minorEastAsia" w:hAnsiTheme="minorEastAsia" w:eastAsiaTheme="minorEastAsia"/>
          <w:bCs/>
          <w:color w:val="auto"/>
        </w:rPr>
        <w:t>4.不得再对本合同标的进行转租、转售、抵押等处置。</w:t>
      </w:r>
    </w:p>
    <w:p w14:paraId="2F561067">
      <w:pPr>
        <w:spacing w:line="360" w:lineRule="auto"/>
        <w:ind w:firstLine="240" w:firstLineChars="100"/>
        <w:outlineLvl w:val="0"/>
        <w:rPr>
          <w:rFonts w:asciiTheme="minorEastAsia" w:hAnsiTheme="minorEastAsia" w:eastAsiaTheme="minorEastAsia"/>
          <w:bCs/>
          <w:color w:val="auto"/>
        </w:rPr>
      </w:pPr>
      <w:r>
        <w:rPr>
          <w:rFonts w:hint="eastAsia" w:asciiTheme="minorEastAsia" w:hAnsiTheme="minorEastAsia" w:eastAsiaTheme="minorEastAsia"/>
          <w:bCs/>
          <w:color w:val="auto"/>
        </w:rPr>
        <w:t>（二）乙方权利义务</w:t>
      </w:r>
    </w:p>
    <w:p w14:paraId="0065D02F">
      <w:pPr>
        <w:spacing w:line="360" w:lineRule="auto"/>
        <w:ind w:firstLine="480" w:firstLineChars="200"/>
        <w:outlineLvl w:val="0"/>
        <w:rPr>
          <w:rFonts w:asciiTheme="minorEastAsia" w:hAnsiTheme="minorEastAsia" w:eastAsiaTheme="minorEastAsia"/>
          <w:bCs/>
          <w:color w:val="auto"/>
        </w:rPr>
      </w:pPr>
      <w:r>
        <w:rPr>
          <w:rFonts w:hint="eastAsia" w:asciiTheme="minorEastAsia" w:hAnsiTheme="minorEastAsia" w:eastAsiaTheme="minorEastAsia"/>
          <w:bCs/>
          <w:color w:val="auto"/>
        </w:rPr>
        <w:t>1.按约定及时足额支付全部转让款项，并承担相应税费等其他费用。</w:t>
      </w:r>
    </w:p>
    <w:p w14:paraId="509C877C">
      <w:pPr>
        <w:spacing w:line="360" w:lineRule="auto"/>
        <w:ind w:firstLine="480" w:firstLineChars="200"/>
        <w:outlineLvl w:val="0"/>
        <w:rPr>
          <w:rFonts w:asciiTheme="minorEastAsia" w:hAnsiTheme="minorEastAsia" w:eastAsiaTheme="minorEastAsia"/>
          <w:bCs/>
          <w:color w:val="auto"/>
        </w:rPr>
      </w:pPr>
      <w:r>
        <w:rPr>
          <w:rFonts w:hint="eastAsia" w:asciiTheme="minorEastAsia" w:hAnsiTheme="minorEastAsia" w:eastAsiaTheme="minorEastAsia"/>
          <w:bCs/>
          <w:color w:val="auto"/>
        </w:rPr>
        <w:t>2.按时接收资产，不得以资产现状、外观、性能等非权属问题为由拒收、拒付。</w:t>
      </w:r>
    </w:p>
    <w:p w14:paraId="62CB9FE8">
      <w:pPr>
        <w:spacing w:line="360" w:lineRule="auto"/>
        <w:ind w:firstLine="480" w:firstLineChars="200"/>
        <w:outlineLvl w:val="0"/>
        <w:rPr>
          <w:rFonts w:asciiTheme="minorEastAsia" w:hAnsiTheme="minorEastAsia" w:eastAsiaTheme="minorEastAsia"/>
          <w:b/>
          <w:bCs/>
          <w:color w:val="auto"/>
          <w:sz w:val="28"/>
        </w:rPr>
      </w:pPr>
      <w:r>
        <w:rPr>
          <w:rFonts w:hint="eastAsia" w:asciiTheme="minorEastAsia" w:hAnsiTheme="minorEastAsia" w:eastAsiaTheme="minorEastAsia"/>
          <w:bCs/>
          <w:color w:val="auto"/>
        </w:rPr>
        <w:t>3.依法合规使用受让资产，承担资产接收后的全部安全、管理及法律责任。</w:t>
      </w:r>
    </w:p>
    <w:p w14:paraId="18975E82">
      <w:pPr>
        <w:spacing w:line="360" w:lineRule="auto"/>
        <w:outlineLvl w:val="0"/>
        <w:rPr>
          <w:rFonts w:asciiTheme="minorEastAsia" w:hAnsiTheme="minorEastAsia" w:eastAsiaTheme="minorEastAsia"/>
          <w:b/>
          <w:bCs/>
          <w:color w:val="auto"/>
          <w:sz w:val="28"/>
        </w:rPr>
      </w:pPr>
      <w:r>
        <w:rPr>
          <w:rFonts w:hint="eastAsia" w:asciiTheme="minorEastAsia" w:hAnsiTheme="minorEastAsia" w:eastAsiaTheme="minorEastAsia"/>
          <w:b/>
          <w:bCs/>
          <w:color w:val="auto"/>
          <w:sz w:val="28"/>
        </w:rPr>
        <w:t>第六条  违约责任</w:t>
      </w:r>
    </w:p>
    <w:p w14:paraId="443E3478">
      <w:pPr>
        <w:spacing w:line="360" w:lineRule="auto"/>
        <w:ind w:firstLine="480" w:firstLineChars="200"/>
        <w:outlineLvl w:val="0"/>
        <w:rPr>
          <w:rFonts w:asciiTheme="minorEastAsia" w:hAnsiTheme="minorEastAsia" w:eastAsiaTheme="minorEastAsia"/>
          <w:bCs/>
          <w:color w:val="auto"/>
        </w:rPr>
      </w:pPr>
      <w:r>
        <w:rPr>
          <w:rFonts w:hint="eastAsia" w:asciiTheme="minorEastAsia" w:hAnsiTheme="minorEastAsia" w:eastAsiaTheme="minorEastAsia"/>
          <w:bCs/>
          <w:color w:val="auto"/>
        </w:rPr>
        <w:t>1.甲方无正当理由逾期交付资产、拒不配合交割，每逾期一日按成交总价5‰向乙方支付违约金；因甲方权属瑕疵、手续不全导致合同无法履行的，甲方全额退还已收款项，并赔偿乙方实际损失。</w:t>
      </w:r>
    </w:p>
    <w:p w14:paraId="37C26E31">
      <w:pPr>
        <w:spacing w:line="360" w:lineRule="auto"/>
        <w:ind w:firstLine="480" w:firstLineChars="200"/>
        <w:outlineLvl w:val="0"/>
        <w:rPr>
          <w:rFonts w:asciiTheme="minorEastAsia" w:hAnsiTheme="minorEastAsia" w:eastAsiaTheme="minorEastAsia"/>
          <w:bCs/>
          <w:color w:val="auto"/>
        </w:rPr>
      </w:pPr>
      <w:r>
        <w:rPr>
          <w:rFonts w:hint="eastAsia" w:asciiTheme="minorEastAsia" w:hAnsiTheme="minorEastAsia" w:eastAsiaTheme="minorEastAsia"/>
          <w:bCs/>
          <w:color w:val="auto"/>
          <w:lang w:val="en-US" w:eastAsia="zh-CN"/>
        </w:rPr>
        <w:t>2</w:t>
      </w:r>
      <w:r>
        <w:rPr>
          <w:rFonts w:hint="eastAsia" w:asciiTheme="minorEastAsia" w:hAnsiTheme="minorEastAsia" w:eastAsiaTheme="minorEastAsia"/>
          <w:bCs/>
          <w:color w:val="auto"/>
        </w:rPr>
        <w:t>.任何一方擅自解除本合同，需向对方支付成交总价50%的违约金。</w:t>
      </w:r>
    </w:p>
    <w:p w14:paraId="238E995C">
      <w:pPr>
        <w:spacing w:line="360" w:lineRule="auto"/>
        <w:outlineLvl w:val="0"/>
        <w:rPr>
          <w:rFonts w:asciiTheme="minorEastAsia" w:hAnsiTheme="minorEastAsia" w:eastAsiaTheme="minorEastAsia"/>
          <w:b/>
          <w:bCs/>
          <w:color w:val="auto"/>
          <w:sz w:val="28"/>
        </w:rPr>
      </w:pPr>
      <w:r>
        <w:rPr>
          <w:rFonts w:hint="eastAsia" w:asciiTheme="minorEastAsia" w:hAnsiTheme="minorEastAsia" w:eastAsiaTheme="minorEastAsia"/>
          <w:b/>
          <w:bCs/>
          <w:color w:val="auto"/>
          <w:sz w:val="28"/>
        </w:rPr>
        <w:t>第七条  不可抗力</w:t>
      </w:r>
    </w:p>
    <w:p w14:paraId="23866941">
      <w:pPr>
        <w:spacing w:line="360" w:lineRule="auto"/>
        <w:ind w:firstLine="480" w:firstLineChars="200"/>
        <w:rPr>
          <w:rFonts w:asciiTheme="minorEastAsia" w:hAnsiTheme="minorEastAsia" w:eastAsiaTheme="minorEastAsia"/>
          <w:bCs/>
          <w:color w:val="auto"/>
        </w:rPr>
      </w:pPr>
      <w:r>
        <w:rPr>
          <w:rFonts w:hint="eastAsia" w:asciiTheme="minorEastAsia" w:hAnsiTheme="minorEastAsia" w:eastAsiaTheme="minorEastAsia"/>
          <w:bCs/>
          <w:color w:val="auto"/>
        </w:rPr>
        <w:t>因地震、自然灾害、政策调整、政府行政行为等不可抗力导致本合同无法履行的，双方互不承担违约责任，协商解除合同，甲方无息退还乙方已付款项。</w:t>
      </w:r>
    </w:p>
    <w:p w14:paraId="0FB7061E">
      <w:pPr>
        <w:spacing w:line="360" w:lineRule="auto"/>
        <w:outlineLvl w:val="0"/>
        <w:rPr>
          <w:rFonts w:asciiTheme="minorEastAsia" w:hAnsiTheme="minorEastAsia" w:eastAsiaTheme="minorEastAsia"/>
          <w:b/>
          <w:bCs/>
          <w:color w:val="auto"/>
          <w:sz w:val="28"/>
        </w:rPr>
      </w:pPr>
      <w:r>
        <w:rPr>
          <w:rFonts w:hint="eastAsia" w:asciiTheme="minorEastAsia" w:hAnsiTheme="minorEastAsia" w:eastAsiaTheme="minorEastAsia"/>
          <w:b/>
          <w:bCs/>
          <w:color w:val="auto"/>
          <w:sz w:val="28"/>
        </w:rPr>
        <w:t>第八条  争议解决</w:t>
      </w:r>
    </w:p>
    <w:p w14:paraId="4F5FF52F">
      <w:pPr>
        <w:spacing w:line="360" w:lineRule="auto"/>
        <w:ind w:firstLine="480" w:firstLineChars="200"/>
        <w:outlineLvl w:val="0"/>
        <w:rPr>
          <w:rFonts w:asciiTheme="minorEastAsia" w:hAnsiTheme="minorEastAsia" w:eastAsiaTheme="minorEastAsia"/>
          <w:bCs/>
          <w:color w:val="auto"/>
        </w:rPr>
      </w:pPr>
      <w:r>
        <w:rPr>
          <w:rFonts w:hint="eastAsia" w:asciiTheme="minorEastAsia" w:hAnsiTheme="minorEastAsia" w:eastAsiaTheme="minorEastAsia"/>
          <w:bCs/>
          <w:color w:val="auto"/>
        </w:rPr>
        <w:t>本合同履行发生争议，双方先行协商；协商不成的，依法向甲方所在地有管辖权人民法院提起诉讼。</w:t>
      </w:r>
    </w:p>
    <w:p w14:paraId="5A283BA7">
      <w:pPr>
        <w:spacing w:line="360" w:lineRule="auto"/>
        <w:outlineLvl w:val="0"/>
        <w:rPr>
          <w:rFonts w:asciiTheme="minorEastAsia" w:hAnsiTheme="minorEastAsia" w:eastAsiaTheme="minorEastAsia"/>
          <w:b/>
          <w:bCs/>
          <w:color w:val="auto"/>
          <w:sz w:val="28"/>
        </w:rPr>
      </w:pPr>
      <w:r>
        <w:rPr>
          <w:rFonts w:hint="eastAsia" w:asciiTheme="minorEastAsia" w:hAnsiTheme="minorEastAsia" w:eastAsiaTheme="minorEastAsia"/>
          <w:b/>
          <w:bCs/>
          <w:color w:val="auto"/>
          <w:sz w:val="28"/>
        </w:rPr>
        <w:t>第九条  其他约定</w:t>
      </w:r>
    </w:p>
    <w:p w14:paraId="2089753A">
      <w:pPr>
        <w:spacing w:line="360" w:lineRule="auto"/>
        <w:ind w:firstLine="480" w:firstLineChars="200"/>
        <w:rPr>
          <w:rFonts w:hint="eastAsia" w:asciiTheme="minorEastAsia" w:hAnsiTheme="minorEastAsia" w:eastAsiaTheme="minorEastAsia"/>
          <w:bCs/>
          <w:color w:val="auto"/>
        </w:rPr>
      </w:pPr>
      <w:r>
        <w:rPr>
          <w:rFonts w:hint="eastAsia" w:asciiTheme="minorEastAsia" w:hAnsiTheme="minorEastAsia" w:eastAsiaTheme="minorEastAsia"/>
          <w:bCs/>
          <w:color w:val="auto"/>
        </w:rPr>
        <w:t>1.本次</w:t>
      </w:r>
      <w:r>
        <w:rPr>
          <w:rFonts w:hint="eastAsia" w:asciiTheme="minorEastAsia" w:hAnsiTheme="minorEastAsia" w:eastAsiaTheme="minorEastAsia"/>
          <w:bCs/>
          <w:color w:val="auto"/>
          <w:lang w:val="en-US" w:eastAsia="zh-CN"/>
        </w:rPr>
        <w:t>资产移交</w:t>
      </w:r>
      <w:r>
        <w:rPr>
          <w:rFonts w:hint="eastAsia" w:asciiTheme="minorEastAsia" w:hAnsiTheme="minorEastAsia" w:eastAsiaTheme="minorEastAsia"/>
          <w:bCs/>
          <w:color w:val="auto"/>
        </w:rPr>
        <w:t>后</w:t>
      </w:r>
      <w:r>
        <w:rPr>
          <w:rFonts w:hint="eastAsia" w:asciiTheme="minorEastAsia" w:hAnsiTheme="minorEastAsia" w:eastAsiaTheme="minorEastAsia"/>
          <w:bCs/>
          <w:color w:val="auto"/>
          <w:lang w:val="en-US" w:eastAsia="zh-CN"/>
        </w:rPr>
        <w:t>乙方</w:t>
      </w:r>
      <w:r>
        <w:rPr>
          <w:rFonts w:hint="eastAsia" w:asciiTheme="minorEastAsia" w:hAnsiTheme="minorEastAsia" w:eastAsiaTheme="minorEastAsia"/>
          <w:bCs/>
          <w:color w:val="auto"/>
        </w:rPr>
        <w:t>不再继续使用“龙洲”“海油”字号、经营资质和特许经营权等无形资产（包括但不限于“龙洲”、“海油”、“中海油”、“中国海油”、“中国海洋石油”、“CNOOC”和龙洲、海油图形商标）。</w:t>
      </w:r>
    </w:p>
    <w:p w14:paraId="0D6DC441">
      <w:pPr>
        <w:spacing w:line="360" w:lineRule="auto"/>
        <w:ind w:firstLine="480" w:firstLineChars="200"/>
        <w:rPr>
          <w:rFonts w:asciiTheme="minorEastAsia" w:hAnsiTheme="minorEastAsia" w:eastAsiaTheme="minorEastAsia"/>
          <w:bCs/>
          <w:color w:val="auto"/>
        </w:rPr>
      </w:pPr>
      <w:r>
        <w:rPr>
          <w:rFonts w:hint="eastAsia" w:asciiTheme="minorEastAsia" w:hAnsiTheme="minorEastAsia" w:eastAsiaTheme="minorEastAsia"/>
          <w:bCs/>
          <w:color w:val="auto"/>
          <w:lang w:val="en-US" w:eastAsia="zh-CN"/>
        </w:rPr>
        <w:t>2.</w:t>
      </w:r>
      <w:r>
        <w:rPr>
          <w:rFonts w:hint="eastAsia" w:asciiTheme="minorEastAsia" w:hAnsiTheme="minorEastAsia" w:eastAsiaTheme="minorEastAsia"/>
          <w:bCs/>
          <w:color w:val="auto"/>
        </w:rPr>
        <w:t>本合同未尽事宜，按照产权交易中心</w:t>
      </w:r>
      <w:r>
        <w:rPr>
          <w:rFonts w:hint="eastAsia" w:asciiTheme="minorEastAsia" w:hAnsiTheme="minorEastAsia" w:eastAsiaTheme="minorEastAsia"/>
          <w:bCs/>
          <w:color w:val="auto"/>
          <w:lang w:val="en-US" w:eastAsia="zh-CN"/>
        </w:rPr>
        <w:t>竞价</w:t>
      </w:r>
      <w:r>
        <w:rPr>
          <w:rFonts w:hint="eastAsia" w:asciiTheme="minorEastAsia" w:hAnsiTheme="minorEastAsia" w:eastAsiaTheme="minorEastAsia"/>
          <w:bCs/>
          <w:color w:val="auto"/>
        </w:rPr>
        <w:t>规则、成交确认书及相关法律法规执行。</w:t>
      </w:r>
    </w:p>
    <w:p w14:paraId="397E4C1F">
      <w:pPr>
        <w:spacing w:line="360" w:lineRule="auto"/>
        <w:ind w:firstLine="480" w:firstLineChars="200"/>
        <w:rPr>
          <w:rFonts w:asciiTheme="minorEastAsia" w:hAnsiTheme="minorEastAsia" w:eastAsiaTheme="minorEastAsia"/>
          <w:bCs/>
          <w:color w:val="auto"/>
        </w:rPr>
      </w:pPr>
      <w:r>
        <w:rPr>
          <w:rFonts w:hint="eastAsia" w:asciiTheme="minorEastAsia" w:hAnsiTheme="minorEastAsia" w:eastAsiaTheme="minorEastAsia"/>
          <w:bCs/>
          <w:color w:val="auto"/>
          <w:lang w:val="en-US" w:eastAsia="zh-CN"/>
        </w:rPr>
        <w:t>3</w:t>
      </w:r>
      <w:r>
        <w:rPr>
          <w:rFonts w:hint="eastAsia" w:asciiTheme="minorEastAsia" w:hAnsiTheme="minorEastAsia" w:eastAsiaTheme="minorEastAsia"/>
          <w:bCs/>
          <w:color w:val="auto"/>
        </w:rPr>
        <w:t>.本合同附件《成交确认书》作为本合同组成部分，与本合同具有同等法律效力。</w:t>
      </w:r>
    </w:p>
    <w:p w14:paraId="721F6128">
      <w:pPr>
        <w:spacing w:line="360" w:lineRule="auto"/>
        <w:ind w:firstLine="480" w:firstLineChars="200"/>
        <w:rPr>
          <w:rFonts w:asciiTheme="minorEastAsia" w:hAnsiTheme="minorEastAsia" w:eastAsiaTheme="minorEastAsia"/>
          <w:bCs/>
          <w:color w:val="auto"/>
        </w:rPr>
      </w:pPr>
      <w:r>
        <w:rPr>
          <w:rFonts w:hint="eastAsia" w:asciiTheme="minorEastAsia" w:hAnsiTheme="minorEastAsia" w:eastAsiaTheme="minorEastAsia"/>
          <w:bCs/>
          <w:color w:val="auto"/>
          <w:lang w:val="en-US" w:eastAsia="zh-CN"/>
        </w:rPr>
        <w:t>4</w:t>
      </w:r>
      <w:r>
        <w:rPr>
          <w:rFonts w:hint="eastAsia" w:asciiTheme="minorEastAsia" w:hAnsiTheme="minorEastAsia" w:eastAsiaTheme="minorEastAsia"/>
          <w:bCs/>
          <w:color w:val="auto"/>
        </w:rPr>
        <w:t>.本合同一式伍份，甲方执贰份、乙方执贰份、产权交易中心备案壹份，自双方法定代表人或授权委托人签字并加盖公章之日起生效。</w:t>
      </w:r>
    </w:p>
    <w:p w14:paraId="78E4A752">
      <w:pPr>
        <w:spacing w:line="360" w:lineRule="auto"/>
        <w:rPr>
          <w:rFonts w:hint="eastAsia" w:asciiTheme="minorEastAsia" w:hAnsiTheme="minorEastAsia" w:eastAsiaTheme="minorEastAsia"/>
          <w:color w:val="auto"/>
        </w:rPr>
      </w:pPr>
    </w:p>
    <w:p w14:paraId="103FF5DD">
      <w:pPr>
        <w:spacing w:line="360" w:lineRule="auto"/>
        <w:rPr>
          <w:rFonts w:asciiTheme="minorEastAsia" w:hAnsiTheme="minorEastAsia" w:eastAsiaTheme="minorEastAsia"/>
          <w:bCs/>
          <w:color w:val="auto"/>
        </w:rPr>
      </w:pPr>
      <w:r>
        <w:rPr>
          <w:rFonts w:hint="eastAsia" w:asciiTheme="minorEastAsia" w:hAnsiTheme="minorEastAsia" w:eastAsiaTheme="minorEastAsia"/>
          <w:color w:val="auto"/>
        </w:rPr>
        <w:t>（以下无正文，为双方签字盖章处）</w:t>
      </w:r>
    </w:p>
    <w:p w14:paraId="3C54EA0B">
      <w:pPr>
        <w:spacing w:line="360" w:lineRule="auto"/>
        <w:rPr>
          <w:rFonts w:asciiTheme="minorEastAsia" w:hAnsiTheme="minorEastAsia" w:eastAsiaTheme="minorEastAsia"/>
          <w:bCs/>
          <w:color w:val="auto"/>
        </w:rPr>
      </w:pPr>
    </w:p>
    <w:p w14:paraId="3E8E4CF7">
      <w:pPr>
        <w:spacing w:line="360" w:lineRule="auto"/>
        <w:rPr>
          <w:rFonts w:asciiTheme="minorEastAsia" w:hAnsiTheme="minorEastAsia" w:eastAsiaTheme="minorEastAsia"/>
          <w:bCs/>
          <w:color w:val="auto"/>
        </w:rPr>
      </w:pPr>
    </w:p>
    <w:p w14:paraId="63541160">
      <w:pPr>
        <w:spacing w:line="360" w:lineRule="auto"/>
        <w:rPr>
          <w:rFonts w:asciiTheme="minorEastAsia" w:hAnsiTheme="minorEastAsia" w:eastAsiaTheme="minorEastAsia"/>
          <w:color w:val="auto"/>
        </w:rPr>
      </w:pPr>
    </w:p>
    <w:p w14:paraId="0FDCDCFE">
      <w:pPr>
        <w:spacing w:line="360" w:lineRule="auto"/>
        <w:rPr>
          <w:rFonts w:asciiTheme="minorEastAsia" w:hAnsiTheme="minorEastAsia" w:eastAsiaTheme="minorEastAsia"/>
          <w:color w:val="auto"/>
        </w:rPr>
      </w:pPr>
    </w:p>
    <w:p w14:paraId="71ACDE85">
      <w:pPr>
        <w:spacing w:line="360" w:lineRule="auto"/>
        <w:rPr>
          <w:rFonts w:asciiTheme="minorEastAsia" w:hAnsiTheme="minorEastAsia" w:eastAsiaTheme="minorEastAsia"/>
          <w:color w:val="auto"/>
        </w:rPr>
      </w:pPr>
    </w:p>
    <w:p w14:paraId="1585EB6B">
      <w:pPr>
        <w:jc w:val="left"/>
        <w:rPr>
          <w:rFonts w:asciiTheme="minorEastAsia" w:hAnsiTheme="minorEastAsia" w:eastAsiaTheme="minorEastAsia"/>
          <w:color w:val="auto"/>
        </w:rPr>
      </w:pPr>
      <w:r>
        <w:rPr>
          <w:rFonts w:hint="eastAsia" w:asciiTheme="minorEastAsia" w:hAnsiTheme="minorEastAsia" w:eastAsiaTheme="minorEastAsia"/>
          <w:color w:val="auto"/>
        </w:rPr>
        <w:t xml:space="preserve">甲方： </w:t>
      </w:r>
      <w:r>
        <w:rPr>
          <w:rFonts w:asciiTheme="minorEastAsia" w:hAnsiTheme="minorEastAsia" w:eastAsiaTheme="minorEastAsia"/>
          <w:color w:val="auto"/>
        </w:rPr>
        <w:t xml:space="preserve">                              乙方</w:t>
      </w:r>
      <w:r>
        <w:rPr>
          <w:rFonts w:hint="eastAsia" w:asciiTheme="minorEastAsia" w:hAnsiTheme="minorEastAsia" w:eastAsiaTheme="minorEastAsia"/>
          <w:color w:val="auto"/>
        </w:rPr>
        <w:t>：</w:t>
      </w:r>
    </w:p>
    <w:p w14:paraId="26454664">
      <w:pPr>
        <w:jc w:val="left"/>
        <w:rPr>
          <w:rFonts w:asciiTheme="minorEastAsia" w:hAnsiTheme="minorEastAsia" w:eastAsiaTheme="minorEastAsia"/>
          <w:color w:val="auto"/>
        </w:rPr>
      </w:pPr>
    </w:p>
    <w:p w14:paraId="417701C1">
      <w:pPr>
        <w:jc w:val="left"/>
        <w:rPr>
          <w:rFonts w:asciiTheme="minorEastAsia" w:hAnsiTheme="minorEastAsia" w:eastAsiaTheme="minorEastAsia"/>
          <w:color w:val="auto"/>
        </w:rPr>
      </w:pPr>
      <w:r>
        <w:rPr>
          <w:rFonts w:hint="eastAsia" w:asciiTheme="minorEastAsia" w:hAnsiTheme="minorEastAsia" w:eastAsiaTheme="minorEastAsia"/>
          <w:color w:val="auto"/>
        </w:rPr>
        <w:t>法定代表人或授权委托人：</w:t>
      </w:r>
      <w:r>
        <w:rPr>
          <w:rFonts w:asciiTheme="minorEastAsia" w:hAnsiTheme="minorEastAsia" w:eastAsiaTheme="minorEastAsia"/>
          <w:color w:val="auto"/>
        </w:rPr>
        <w:t xml:space="preserve">             法定代表人或授权</w:t>
      </w:r>
      <w:r>
        <w:rPr>
          <w:rFonts w:hint="eastAsia" w:asciiTheme="minorEastAsia" w:hAnsiTheme="minorEastAsia" w:eastAsiaTheme="minorEastAsia"/>
          <w:color w:val="auto"/>
        </w:rPr>
        <w:t>委托</w:t>
      </w:r>
      <w:r>
        <w:rPr>
          <w:rFonts w:asciiTheme="minorEastAsia" w:hAnsiTheme="minorEastAsia" w:eastAsiaTheme="minorEastAsia"/>
          <w:color w:val="auto"/>
        </w:rPr>
        <w:t>人：</w:t>
      </w:r>
    </w:p>
    <w:p w14:paraId="4A18E6A7">
      <w:pPr>
        <w:jc w:val="left"/>
        <w:rPr>
          <w:rFonts w:asciiTheme="minorEastAsia" w:hAnsiTheme="minorEastAsia" w:eastAsiaTheme="minorEastAsia"/>
          <w:color w:val="auto"/>
        </w:rPr>
      </w:pPr>
    </w:p>
    <w:p w14:paraId="3A49B690">
      <w:pPr>
        <w:jc w:val="left"/>
        <w:rPr>
          <w:rFonts w:asciiTheme="minorEastAsia" w:hAnsiTheme="minorEastAsia" w:eastAsiaTheme="minorEastAsia"/>
          <w:color w:val="auto"/>
        </w:rPr>
      </w:pPr>
      <w:r>
        <w:rPr>
          <w:rFonts w:hint="eastAsia" w:asciiTheme="minorEastAsia" w:hAnsiTheme="minorEastAsia" w:eastAsiaTheme="minorEastAsia"/>
          <w:color w:val="auto"/>
        </w:rPr>
        <w:t>日期：</w:t>
      </w:r>
      <w:r>
        <w:rPr>
          <w:rFonts w:asciiTheme="minorEastAsia" w:hAnsiTheme="minorEastAsia" w:eastAsiaTheme="minorEastAsia"/>
          <w:color w:val="auto"/>
        </w:rPr>
        <w:t xml:space="preserve">                                   日期：</w:t>
      </w:r>
    </w:p>
    <w:sectPr>
      <w:headerReference r:id="rId3" w:type="default"/>
      <w:footerReference r:id="rId4" w:type="default"/>
      <w:footerReference r:id="rId5" w:type="even"/>
      <w:pgSz w:w="11906" w:h="16838"/>
      <w:pgMar w:top="1134" w:right="1134" w:bottom="1134" w:left="1134" w:header="851" w:footer="992"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yriad Pro">
    <w:altName w:val="Times New Roman"/>
    <w:panose1 w:val="00000000000000000000"/>
    <w:charset w:val="00"/>
    <w:family w:val="swiss"/>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color w:val="auto"/>
      </w:rPr>
      <w:id w:val="-1825569582"/>
    </w:sdtPr>
    <w:sdtEndPr>
      <w:rPr>
        <w:color w:val="auto"/>
      </w:rPr>
    </w:sdtEndPr>
    <w:sdtContent>
      <w:sdt>
        <w:sdtPr>
          <w:rPr>
            <w:color w:val="auto"/>
          </w:rPr>
          <w:id w:val="1728636285"/>
        </w:sdtPr>
        <w:sdtEndPr>
          <w:rPr>
            <w:color w:val="auto"/>
          </w:rPr>
        </w:sdtEndPr>
        <w:sdtContent>
          <w:p w14:paraId="6B9B846F">
            <w:pPr>
              <w:pStyle w:val="11"/>
              <w:jc w:val="center"/>
            </w:pP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84DCB">
    <w:pPr>
      <w:pStyle w:val="11"/>
      <w:framePr w:wrap="around" w:vAnchor="text" w:hAnchor="margin" w:xAlign="center" w:y="1"/>
      <w:rPr>
        <w:rStyle w:val="19"/>
        <w:rFonts w:cs="宋体"/>
      </w:rPr>
    </w:pPr>
    <w:r>
      <w:rPr>
        <w:rStyle w:val="19"/>
        <w:rFonts w:cs="宋体"/>
      </w:rPr>
      <w:fldChar w:fldCharType="begin"/>
    </w:r>
    <w:r>
      <w:rPr>
        <w:rStyle w:val="19"/>
        <w:rFonts w:cs="宋体"/>
      </w:rPr>
      <w:instrText xml:space="preserve">PAGE  </w:instrText>
    </w:r>
    <w:r>
      <w:rPr>
        <w:rStyle w:val="19"/>
        <w:rFonts w:cs="宋体"/>
      </w:rPr>
      <w:fldChar w:fldCharType="end"/>
    </w:r>
  </w:p>
  <w:p w14:paraId="512A2934">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B9259">
    <w:pPr>
      <w:pStyle w:val="12"/>
      <w:pBdr>
        <w:bottom w:val="none" w:color="auto" w:sz="0" w:space="0"/>
      </w:pBdr>
      <w:jc w:val="right"/>
      <w:rPr>
        <w:u w:val="single"/>
      </w:rPr>
    </w:pPr>
    <w:r>
      <w:rPr>
        <w:rFonts w:hint="eastAsia"/>
        <w:u w:val="single"/>
      </w:rPr>
      <w:t>柴油撬装设备转让合同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trackRevisions w:val="1"/>
  <w:documentProtection w:edit="forms" w:formatting="1" w:enforcement="0"/>
  <w:defaultTabStop w:val="420"/>
  <w:drawingGridHorizontalSpacing w:val="1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42F"/>
    <w:rsid w:val="00000443"/>
    <w:rsid w:val="000007A4"/>
    <w:rsid w:val="0000289B"/>
    <w:rsid w:val="00005CA2"/>
    <w:rsid w:val="000109B6"/>
    <w:rsid w:val="0001295C"/>
    <w:rsid w:val="0001459E"/>
    <w:rsid w:val="00016502"/>
    <w:rsid w:val="00016773"/>
    <w:rsid w:val="00020869"/>
    <w:rsid w:val="00020CB7"/>
    <w:rsid w:val="000221DF"/>
    <w:rsid w:val="00023A66"/>
    <w:rsid w:val="00026CA7"/>
    <w:rsid w:val="00027E04"/>
    <w:rsid w:val="00035660"/>
    <w:rsid w:val="00044E44"/>
    <w:rsid w:val="00046330"/>
    <w:rsid w:val="000507B0"/>
    <w:rsid w:val="00060324"/>
    <w:rsid w:val="0006373E"/>
    <w:rsid w:val="00064BB7"/>
    <w:rsid w:val="0006610A"/>
    <w:rsid w:val="00073646"/>
    <w:rsid w:val="00084832"/>
    <w:rsid w:val="000949C9"/>
    <w:rsid w:val="00095EB4"/>
    <w:rsid w:val="000964D2"/>
    <w:rsid w:val="000A01EC"/>
    <w:rsid w:val="000A1F26"/>
    <w:rsid w:val="000A4A2F"/>
    <w:rsid w:val="000A7999"/>
    <w:rsid w:val="000A7EF4"/>
    <w:rsid w:val="000B0373"/>
    <w:rsid w:val="000B3F37"/>
    <w:rsid w:val="000B5852"/>
    <w:rsid w:val="000B590B"/>
    <w:rsid w:val="000B6333"/>
    <w:rsid w:val="000B7D96"/>
    <w:rsid w:val="000C04F7"/>
    <w:rsid w:val="000C1B62"/>
    <w:rsid w:val="000C7E22"/>
    <w:rsid w:val="000D2774"/>
    <w:rsid w:val="000F02D2"/>
    <w:rsid w:val="000F10A6"/>
    <w:rsid w:val="000F577D"/>
    <w:rsid w:val="000F61F9"/>
    <w:rsid w:val="00100D03"/>
    <w:rsid w:val="00101F69"/>
    <w:rsid w:val="001022F5"/>
    <w:rsid w:val="001054DF"/>
    <w:rsid w:val="001067B6"/>
    <w:rsid w:val="00111260"/>
    <w:rsid w:val="00114476"/>
    <w:rsid w:val="00116731"/>
    <w:rsid w:val="00121503"/>
    <w:rsid w:val="0012190E"/>
    <w:rsid w:val="00124794"/>
    <w:rsid w:val="00130247"/>
    <w:rsid w:val="0013291F"/>
    <w:rsid w:val="001375DC"/>
    <w:rsid w:val="001435F9"/>
    <w:rsid w:val="001443B2"/>
    <w:rsid w:val="00144DD3"/>
    <w:rsid w:val="001452E7"/>
    <w:rsid w:val="00145B2B"/>
    <w:rsid w:val="0014675C"/>
    <w:rsid w:val="0014758E"/>
    <w:rsid w:val="00154454"/>
    <w:rsid w:val="00155483"/>
    <w:rsid w:val="0015728A"/>
    <w:rsid w:val="00167EFC"/>
    <w:rsid w:val="0017114C"/>
    <w:rsid w:val="00177B67"/>
    <w:rsid w:val="00186F1F"/>
    <w:rsid w:val="001904D1"/>
    <w:rsid w:val="00191604"/>
    <w:rsid w:val="00192567"/>
    <w:rsid w:val="001938B5"/>
    <w:rsid w:val="00193DCB"/>
    <w:rsid w:val="001964BE"/>
    <w:rsid w:val="001A03BA"/>
    <w:rsid w:val="001A4622"/>
    <w:rsid w:val="001B066B"/>
    <w:rsid w:val="001B2AF9"/>
    <w:rsid w:val="001B2C4D"/>
    <w:rsid w:val="001B4C10"/>
    <w:rsid w:val="001B71AE"/>
    <w:rsid w:val="001C365D"/>
    <w:rsid w:val="001D0015"/>
    <w:rsid w:val="001D1581"/>
    <w:rsid w:val="001D29D8"/>
    <w:rsid w:val="001D5287"/>
    <w:rsid w:val="001D7CA4"/>
    <w:rsid w:val="001E2185"/>
    <w:rsid w:val="001E3D6A"/>
    <w:rsid w:val="001E42B1"/>
    <w:rsid w:val="001E45BC"/>
    <w:rsid w:val="001E45E2"/>
    <w:rsid w:val="001E4744"/>
    <w:rsid w:val="001F0C4E"/>
    <w:rsid w:val="001F4715"/>
    <w:rsid w:val="001F7EEA"/>
    <w:rsid w:val="00203CC1"/>
    <w:rsid w:val="0020499F"/>
    <w:rsid w:val="00205856"/>
    <w:rsid w:val="002058BB"/>
    <w:rsid w:val="00207208"/>
    <w:rsid w:val="00210105"/>
    <w:rsid w:val="0021047F"/>
    <w:rsid w:val="0021369F"/>
    <w:rsid w:val="002148FA"/>
    <w:rsid w:val="00214BA3"/>
    <w:rsid w:val="002224B8"/>
    <w:rsid w:val="002275C5"/>
    <w:rsid w:val="00231DCC"/>
    <w:rsid w:val="00232492"/>
    <w:rsid w:val="00233BD5"/>
    <w:rsid w:val="0023725B"/>
    <w:rsid w:val="00237826"/>
    <w:rsid w:val="002407BF"/>
    <w:rsid w:val="00245726"/>
    <w:rsid w:val="002531D2"/>
    <w:rsid w:val="002538E7"/>
    <w:rsid w:val="00255C05"/>
    <w:rsid w:val="00257202"/>
    <w:rsid w:val="00266E37"/>
    <w:rsid w:val="0027121D"/>
    <w:rsid w:val="00272883"/>
    <w:rsid w:val="00273A74"/>
    <w:rsid w:val="00273D24"/>
    <w:rsid w:val="00273FE1"/>
    <w:rsid w:val="00275B51"/>
    <w:rsid w:val="00275DE8"/>
    <w:rsid w:val="002771AB"/>
    <w:rsid w:val="002771C7"/>
    <w:rsid w:val="00281743"/>
    <w:rsid w:val="00282278"/>
    <w:rsid w:val="00283B9D"/>
    <w:rsid w:val="002843C1"/>
    <w:rsid w:val="002860C5"/>
    <w:rsid w:val="00287718"/>
    <w:rsid w:val="00287FC0"/>
    <w:rsid w:val="00292592"/>
    <w:rsid w:val="002941A5"/>
    <w:rsid w:val="002A118A"/>
    <w:rsid w:val="002A1767"/>
    <w:rsid w:val="002A5DA8"/>
    <w:rsid w:val="002B5547"/>
    <w:rsid w:val="002B563E"/>
    <w:rsid w:val="002B69FA"/>
    <w:rsid w:val="002C2931"/>
    <w:rsid w:val="002C3BE8"/>
    <w:rsid w:val="002C5789"/>
    <w:rsid w:val="002D217F"/>
    <w:rsid w:val="002D700A"/>
    <w:rsid w:val="002E1141"/>
    <w:rsid w:val="002E34A1"/>
    <w:rsid w:val="002E3F63"/>
    <w:rsid w:val="002E5EC3"/>
    <w:rsid w:val="002F242C"/>
    <w:rsid w:val="002F31A4"/>
    <w:rsid w:val="002F4026"/>
    <w:rsid w:val="002F5414"/>
    <w:rsid w:val="002F55FB"/>
    <w:rsid w:val="002F6861"/>
    <w:rsid w:val="002F6FC8"/>
    <w:rsid w:val="002F7AB0"/>
    <w:rsid w:val="002F7FA7"/>
    <w:rsid w:val="0030453B"/>
    <w:rsid w:val="00306EBD"/>
    <w:rsid w:val="00307ED8"/>
    <w:rsid w:val="00311620"/>
    <w:rsid w:val="003120F1"/>
    <w:rsid w:val="003127E9"/>
    <w:rsid w:val="00313101"/>
    <w:rsid w:val="00313D87"/>
    <w:rsid w:val="00323615"/>
    <w:rsid w:val="003236D3"/>
    <w:rsid w:val="00324D46"/>
    <w:rsid w:val="00327CDB"/>
    <w:rsid w:val="00332008"/>
    <w:rsid w:val="00332D64"/>
    <w:rsid w:val="0033365E"/>
    <w:rsid w:val="0033476F"/>
    <w:rsid w:val="00337129"/>
    <w:rsid w:val="003374C1"/>
    <w:rsid w:val="003400A0"/>
    <w:rsid w:val="00340DAF"/>
    <w:rsid w:val="003424E9"/>
    <w:rsid w:val="00346899"/>
    <w:rsid w:val="003468A4"/>
    <w:rsid w:val="00356C50"/>
    <w:rsid w:val="003608C9"/>
    <w:rsid w:val="003611AE"/>
    <w:rsid w:val="00370D42"/>
    <w:rsid w:val="00372F2B"/>
    <w:rsid w:val="003829C7"/>
    <w:rsid w:val="00382B95"/>
    <w:rsid w:val="003841B4"/>
    <w:rsid w:val="00385B74"/>
    <w:rsid w:val="00393A43"/>
    <w:rsid w:val="003A0A5E"/>
    <w:rsid w:val="003A3715"/>
    <w:rsid w:val="003A48E6"/>
    <w:rsid w:val="003B184C"/>
    <w:rsid w:val="003B3033"/>
    <w:rsid w:val="003B52CD"/>
    <w:rsid w:val="003B7EE9"/>
    <w:rsid w:val="003C0FF5"/>
    <w:rsid w:val="003C2A9A"/>
    <w:rsid w:val="003D38E2"/>
    <w:rsid w:val="003D69CF"/>
    <w:rsid w:val="003E1A88"/>
    <w:rsid w:val="003E3876"/>
    <w:rsid w:val="003E4033"/>
    <w:rsid w:val="003E711E"/>
    <w:rsid w:val="003F2F0C"/>
    <w:rsid w:val="003F49EE"/>
    <w:rsid w:val="003F7018"/>
    <w:rsid w:val="003F7337"/>
    <w:rsid w:val="004016BD"/>
    <w:rsid w:val="00406604"/>
    <w:rsid w:val="0042605F"/>
    <w:rsid w:val="0042645C"/>
    <w:rsid w:val="004332B1"/>
    <w:rsid w:val="0043629D"/>
    <w:rsid w:val="00440D3D"/>
    <w:rsid w:val="00444433"/>
    <w:rsid w:val="00446442"/>
    <w:rsid w:val="00450454"/>
    <w:rsid w:val="00450705"/>
    <w:rsid w:val="00457D50"/>
    <w:rsid w:val="00460448"/>
    <w:rsid w:val="0046128C"/>
    <w:rsid w:val="0046174C"/>
    <w:rsid w:val="004633A0"/>
    <w:rsid w:val="00463957"/>
    <w:rsid w:val="00463AB8"/>
    <w:rsid w:val="00463BB6"/>
    <w:rsid w:val="00464856"/>
    <w:rsid w:val="00465160"/>
    <w:rsid w:val="004663B4"/>
    <w:rsid w:val="0047065D"/>
    <w:rsid w:val="00471019"/>
    <w:rsid w:val="00473733"/>
    <w:rsid w:val="0047692B"/>
    <w:rsid w:val="00480FE0"/>
    <w:rsid w:val="00483585"/>
    <w:rsid w:val="004859E5"/>
    <w:rsid w:val="00486D02"/>
    <w:rsid w:val="0048730A"/>
    <w:rsid w:val="00491139"/>
    <w:rsid w:val="00491758"/>
    <w:rsid w:val="0049219A"/>
    <w:rsid w:val="00492E3B"/>
    <w:rsid w:val="00497C03"/>
    <w:rsid w:val="004A0689"/>
    <w:rsid w:val="004A0A37"/>
    <w:rsid w:val="004A2790"/>
    <w:rsid w:val="004A37ED"/>
    <w:rsid w:val="004A548F"/>
    <w:rsid w:val="004A6DD4"/>
    <w:rsid w:val="004A6E6A"/>
    <w:rsid w:val="004B2C46"/>
    <w:rsid w:val="004B5B03"/>
    <w:rsid w:val="004C35F3"/>
    <w:rsid w:val="004C63BD"/>
    <w:rsid w:val="004C782A"/>
    <w:rsid w:val="004D5844"/>
    <w:rsid w:val="004E1718"/>
    <w:rsid w:val="004E207B"/>
    <w:rsid w:val="004E5135"/>
    <w:rsid w:val="004F626A"/>
    <w:rsid w:val="004F666D"/>
    <w:rsid w:val="004F6B8D"/>
    <w:rsid w:val="00501A78"/>
    <w:rsid w:val="00501CFB"/>
    <w:rsid w:val="005032A0"/>
    <w:rsid w:val="005074BE"/>
    <w:rsid w:val="00510338"/>
    <w:rsid w:val="005126CE"/>
    <w:rsid w:val="0051381D"/>
    <w:rsid w:val="00514A52"/>
    <w:rsid w:val="00514A86"/>
    <w:rsid w:val="00523DA9"/>
    <w:rsid w:val="005265B9"/>
    <w:rsid w:val="00527EC0"/>
    <w:rsid w:val="0053063C"/>
    <w:rsid w:val="00530883"/>
    <w:rsid w:val="005319E1"/>
    <w:rsid w:val="005352DD"/>
    <w:rsid w:val="00541182"/>
    <w:rsid w:val="00543665"/>
    <w:rsid w:val="005452CB"/>
    <w:rsid w:val="0055295C"/>
    <w:rsid w:val="00552B06"/>
    <w:rsid w:val="005541A0"/>
    <w:rsid w:val="005570F2"/>
    <w:rsid w:val="00566E3E"/>
    <w:rsid w:val="005672E3"/>
    <w:rsid w:val="0057554E"/>
    <w:rsid w:val="00576E28"/>
    <w:rsid w:val="0057721A"/>
    <w:rsid w:val="005772EE"/>
    <w:rsid w:val="0058376B"/>
    <w:rsid w:val="00583E1A"/>
    <w:rsid w:val="00587BA7"/>
    <w:rsid w:val="0059279A"/>
    <w:rsid w:val="005929E0"/>
    <w:rsid w:val="00592B0F"/>
    <w:rsid w:val="00593EA4"/>
    <w:rsid w:val="00594D8A"/>
    <w:rsid w:val="00597449"/>
    <w:rsid w:val="005976AB"/>
    <w:rsid w:val="00597AC9"/>
    <w:rsid w:val="005A22BE"/>
    <w:rsid w:val="005A362A"/>
    <w:rsid w:val="005A3C07"/>
    <w:rsid w:val="005B02C0"/>
    <w:rsid w:val="005B1E9C"/>
    <w:rsid w:val="005B6417"/>
    <w:rsid w:val="005C0CED"/>
    <w:rsid w:val="005C54EC"/>
    <w:rsid w:val="005D2717"/>
    <w:rsid w:val="005D39AA"/>
    <w:rsid w:val="005E20A3"/>
    <w:rsid w:val="005E7EBF"/>
    <w:rsid w:val="005F12D3"/>
    <w:rsid w:val="005F1544"/>
    <w:rsid w:val="005F2988"/>
    <w:rsid w:val="005F4048"/>
    <w:rsid w:val="006007F3"/>
    <w:rsid w:val="0060367D"/>
    <w:rsid w:val="006114F4"/>
    <w:rsid w:val="00614D94"/>
    <w:rsid w:val="00617600"/>
    <w:rsid w:val="00621D12"/>
    <w:rsid w:val="00622633"/>
    <w:rsid w:val="006324CC"/>
    <w:rsid w:val="00644E32"/>
    <w:rsid w:val="00645FF7"/>
    <w:rsid w:val="006471A9"/>
    <w:rsid w:val="00647DBC"/>
    <w:rsid w:val="00651BB9"/>
    <w:rsid w:val="006572F2"/>
    <w:rsid w:val="00660894"/>
    <w:rsid w:val="00662C50"/>
    <w:rsid w:val="00670641"/>
    <w:rsid w:val="00671583"/>
    <w:rsid w:val="00675F28"/>
    <w:rsid w:val="0067696B"/>
    <w:rsid w:val="00677F3D"/>
    <w:rsid w:val="006805BC"/>
    <w:rsid w:val="0068067D"/>
    <w:rsid w:val="00684FAE"/>
    <w:rsid w:val="0068765A"/>
    <w:rsid w:val="0069488F"/>
    <w:rsid w:val="00697435"/>
    <w:rsid w:val="00697F21"/>
    <w:rsid w:val="006A2A2B"/>
    <w:rsid w:val="006B0B78"/>
    <w:rsid w:val="006B0CF6"/>
    <w:rsid w:val="006B1C94"/>
    <w:rsid w:val="006B550E"/>
    <w:rsid w:val="006B71BD"/>
    <w:rsid w:val="006C0213"/>
    <w:rsid w:val="006C19D8"/>
    <w:rsid w:val="006C626B"/>
    <w:rsid w:val="006C7347"/>
    <w:rsid w:val="006D05FB"/>
    <w:rsid w:val="006D12BA"/>
    <w:rsid w:val="006D1579"/>
    <w:rsid w:val="006D2BFE"/>
    <w:rsid w:val="006D3C6F"/>
    <w:rsid w:val="006E081F"/>
    <w:rsid w:val="006E3363"/>
    <w:rsid w:val="006E751D"/>
    <w:rsid w:val="006F29E2"/>
    <w:rsid w:val="006F4F7E"/>
    <w:rsid w:val="006F582D"/>
    <w:rsid w:val="0070172C"/>
    <w:rsid w:val="00701BB7"/>
    <w:rsid w:val="0070242C"/>
    <w:rsid w:val="00705EAC"/>
    <w:rsid w:val="007075A9"/>
    <w:rsid w:val="0071208A"/>
    <w:rsid w:val="00713465"/>
    <w:rsid w:val="00715DB6"/>
    <w:rsid w:val="00717C57"/>
    <w:rsid w:val="0072652C"/>
    <w:rsid w:val="00727702"/>
    <w:rsid w:val="00741356"/>
    <w:rsid w:val="00746E82"/>
    <w:rsid w:val="00746E86"/>
    <w:rsid w:val="0074769C"/>
    <w:rsid w:val="00747718"/>
    <w:rsid w:val="007547C9"/>
    <w:rsid w:val="00755377"/>
    <w:rsid w:val="007563E3"/>
    <w:rsid w:val="007570F8"/>
    <w:rsid w:val="00760012"/>
    <w:rsid w:val="00760EC7"/>
    <w:rsid w:val="00760F52"/>
    <w:rsid w:val="0076101F"/>
    <w:rsid w:val="00766D3F"/>
    <w:rsid w:val="00770A71"/>
    <w:rsid w:val="00773FD8"/>
    <w:rsid w:val="007753B3"/>
    <w:rsid w:val="007763CE"/>
    <w:rsid w:val="00777A2F"/>
    <w:rsid w:val="00781556"/>
    <w:rsid w:val="00784EA3"/>
    <w:rsid w:val="00785B9F"/>
    <w:rsid w:val="00787362"/>
    <w:rsid w:val="007914D9"/>
    <w:rsid w:val="00792D24"/>
    <w:rsid w:val="007A5D01"/>
    <w:rsid w:val="007A6F5C"/>
    <w:rsid w:val="007B4C16"/>
    <w:rsid w:val="007B6EC2"/>
    <w:rsid w:val="007B709F"/>
    <w:rsid w:val="007C1EC4"/>
    <w:rsid w:val="007C4D50"/>
    <w:rsid w:val="007C64EC"/>
    <w:rsid w:val="007D055B"/>
    <w:rsid w:val="007D725A"/>
    <w:rsid w:val="007E0DB3"/>
    <w:rsid w:val="007E5060"/>
    <w:rsid w:val="007E50D1"/>
    <w:rsid w:val="007F02D2"/>
    <w:rsid w:val="007F1A23"/>
    <w:rsid w:val="007F342F"/>
    <w:rsid w:val="007F3908"/>
    <w:rsid w:val="0080076E"/>
    <w:rsid w:val="0080079E"/>
    <w:rsid w:val="00803139"/>
    <w:rsid w:val="0080471A"/>
    <w:rsid w:val="00805DA5"/>
    <w:rsid w:val="00805E5D"/>
    <w:rsid w:val="00807EC0"/>
    <w:rsid w:val="00811685"/>
    <w:rsid w:val="00821A16"/>
    <w:rsid w:val="00821DEA"/>
    <w:rsid w:val="00825FDA"/>
    <w:rsid w:val="00831A0E"/>
    <w:rsid w:val="00832181"/>
    <w:rsid w:val="008330A3"/>
    <w:rsid w:val="008400C9"/>
    <w:rsid w:val="008436F4"/>
    <w:rsid w:val="00846133"/>
    <w:rsid w:val="008468ED"/>
    <w:rsid w:val="00847E4C"/>
    <w:rsid w:val="008552D2"/>
    <w:rsid w:val="00861A99"/>
    <w:rsid w:val="00862028"/>
    <w:rsid w:val="00865AA2"/>
    <w:rsid w:val="008669B8"/>
    <w:rsid w:val="00870095"/>
    <w:rsid w:val="00871EB9"/>
    <w:rsid w:val="00872203"/>
    <w:rsid w:val="00873137"/>
    <w:rsid w:val="00873EB5"/>
    <w:rsid w:val="00874B4C"/>
    <w:rsid w:val="00874C29"/>
    <w:rsid w:val="00875A32"/>
    <w:rsid w:val="00876463"/>
    <w:rsid w:val="008766B3"/>
    <w:rsid w:val="008778AE"/>
    <w:rsid w:val="008831A7"/>
    <w:rsid w:val="00883695"/>
    <w:rsid w:val="00885E19"/>
    <w:rsid w:val="00887EE5"/>
    <w:rsid w:val="0089030C"/>
    <w:rsid w:val="00893FE0"/>
    <w:rsid w:val="00894FF6"/>
    <w:rsid w:val="008964F3"/>
    <w:rsid w:val="008A0A37"/>
    <w:rsid w:val="008A157C"/>
    <w:rsid w:val="008A44EA"/>
    <w:rsid w:val="008A552B"/>
    <w:rsid w:val="008A5A37"/>
    <w:rsid w:val="008B0F0C"/>
    <w:rsid w:val="008B6A96"/>
    <w:rsid w:val="008C0FAA"/>
    <w:rsid w:val="008C2116"/>
    <w:rsid w:val="008C4749"/>
    <w:rsid w:val="008D1894"/>
    <w:rsid w:val="008D2A80"/>
    <w:rsid w:val="008E0A61"/>
    <w:rsid w:val="008E2C6F"/>
    <w:rsid w:val="008E58B0"/>
    <w:rsid w:val="008F2642"/>
    <w:rsid w:val="00901541"/>
    <w:rsid w:val="00906735"/>
    <w:rsid w:val="00906BD4"/>
    <w:rsid w:val="00911D2F"/>
    <w:rsid w:val="00911E87"/>
    <w:rsid w:val="0091539B"/>
    <w:rsid w:val="00915481"/>
    <w:rsid w:val="00916128"/>
    <w:rsid w:val="00916246"/>
    <w:rsid w:val="00916413"/>
    <w:rsid w:val="0091680D"/>
    <w:rsid w:val="009203EB"/>
    <w:rsid w:val="0092053F"/>
    <w:rsid w:val="00922893"/>
    <w:rsid w:val="00927797"/>
    <w:rsid w:val="00930F34"/>
    <w:rsid w:val="00931B96"/>
    <w:rsid w:val="00933BDD"/>
    <w:rsid w:val="009367AB"/>
    <w:rsid w:val="00937316"/>
    <w:rsid w:val="0094125D"/>
    <w:rsid w:val="009426AA"/>
    <w:rsid w:val="009445CD"/>
    <w:rsid w:val="00945DBB"/>
    <w:rsid w:val="00947B2C"/>
    <w:rsid w:val="00952E21"/>
    <w:rsid w:val="0095706B"/>
    <w:rsid w:val="00957311"/>
    <w:rsid w:val="00963E07"/>
    <w:rsid w:val="00964D39"/>
    <w:rsid w:val="00966D2A"/>
    <w:rsid w:val="0096763D"/>
    <w:rsid w:val="00967F57"/>
    <w:rsid w:val="00970DE9"/>
    <w:rsid w:val="00972A99"/>
    <w:rsid w:val="00976A1B"/>
    <w:rsid w:val="00976EB5"/>
    <w:rsid w:val="009813D1"/>
    <w:rsid w:val="0098305E"/>
    <w:rsid w:val="00984652"/>
    <w:rsid w:val="00986308"/>
    <w:rsid w:val="00990FA6"/>
    <w:rsid w:val="0099174E"/>
    <w:rsid w:val="0099265A"/>
    <w:rsid w:val="00994E24"/>
    <w:rsid w:val="009964BB"/>
    <w:rsid w:val="009976C3"/>
    <w:rsid w:val="009978B9"/>
    <w:rsid w:val="009A1B93"/>
    <w:rsid w:val="009A20A2"/>
    <w:rsid w:val="009A2775"/>
    <w:rsid w:val="009A541E"/>
    <w:rsid w:val="009A6635"/>
    <w:rsid w:val="009B700D"/>
    <w:rsid w:val="009B748F"/>
    <w:rsid w:val="009C2C9D"/>
    <w:rsid w:val="009D32E0"/>
    <w:rsid w:val="009D35B0"/>
    <w:rsid w:val="009D48C2"/>
    <w:rsid w:val="009D75F0"/>
    <w:rsid w:val="009E0CA0"/>
    <w:rsid w:val="009E1303"/>
    <w:rsid w:val="009E295D"/>
    <w:rsid w:val="009E394D"/>
    <w:rsid w:val="009E49ED"/>
    <w:rsid w:val="009F44C7"/>
    <w:rsid w:val="009F7071"/>
    <w:rsid w:val="009F7F49"/>
    <w:rsid w:val="00A00B01"/>
    <w:rsid w:val="00A07163"/>
    <w:rsid w:val="00A07619"/>
    <w:rsid w:val="00A13A93"/>
    <w:rsid w:val="00A1542F"/>
    <w:rsid w:val="00A2435D"/>
    <w:rsid w:val="00A24749"/>
    <w:rsid w:val="00A27282"/>
    <w:rsid w:val="00A30C7A"/>
    <w:rsid w:val="00A312DD"/>
    <w:rsid w:val="00A31B17"/>
    <w:rsid w:val="00A32FDA"/>
    <w:rsid w:val="00A5087D"/>
    <w:rsid w:val="00A5110B"/>
    <w:rsid w:val="00A553E5"/>
    <w:rsid w:val="00A61828"/>
    <w:rsid w:val="00A61BB0"/>
    <w:rsid w:val="00A62495"/>
    <w:rsid w:val="00A6651B"/>
    <w:rsid w:val="00A67F23"/>
    <w:rsid w:val="00A720C0"/>
    <w:rsid w:val="00A7538C"/>
    <w:rsid w:val="00A7697A"/>
    <w:rsid w:val="00A77BAC"/>
    <w:rsid w:val="00A800E1"/>
    <w:rsid w:val="00A82A67"/>
    <w:rsid w:val="00A8435A"/>
    <w:rsid w:val="00A91453"/>
    <w:rsid w:val="00A9416E"/>
    <w:rsid w:val="00A94CBF"/>
    <w:rsid w:val="00A94ECC"/>
    <w:rsid w:val="00A970D5"/>
    <w:rsid w:val="00A9713F"/>
    <w:rsid w:val="00AA4089"/>
    <w:rsid w:val="00AA4F7A"/>
    <w:rsid w:val="00AB1D01"/>
    <w:rsid w:val="00AB2306"/>
    <w:rsid w:val="00AB3443"/>
    <w:rsid w:val="00AB582E"/>
    <w:rsid w:val="00AB6EA7"/>
    <w:rsid w:val="00AC0B74"/>
    <w:rsid w:val="00AC42BC"/>
    <w:rsid w:val="00AC6BE0"/>
    <w:rsid w:val="00AC76BC"/>
    <w:rsid w:val="00AC7A80"/>
    <w:rsid w:val="00AD6F9E"/>
    <w:rsid w:val="00AE012A"/>
    <w:rsid w:val="00AE02F9"/>
    <w:rsid w:val="00AE118D"/>
    <w:rsid w:val="00AE4E3E"/>
    <w:rsid w:val="00AE77DA"/>
    <w:rsid w:val="00AF519E"/>
    <w:rsid w:val="00AF637C"/>
    <w:rsid w:val="00AF66CB"/>
    <w:rsid w:val="00B01EC9"/>
    <w:rsid w:val="00B0380E"/>
    <w:rsid w:val="00B04D32"/>
    <w:rsid w:val="00B066C2"/>
    <w:rsid w:val="00B06B5A"/>
    <w:rsid w:val="00B10A4E"/>
    <w:rsid w:val="00B11059"/>
    <w:rsid w:val="00B11764"/>
    <w:rsid w:val="00B11EB0"/>
    <w:rsid w:val="00B12BC9"/>
    <w:rsid w:val="00B2232A"/>
    <w:rsid w:val="00B24DC8"/>
    <w:rsid w:val="00B25EF2"/>
    <w:rsid w:val="00B26EE1"/>
    <w:rsid w:val="00B27CBE"/>
    <w:rsid w:val="00B316E6"/>
    <w:rsid w:val="00B32B24"/>
    <w:rsid w:val="00B40253"/>
    <w:rsid w:val="00B40E01"/>
    <w:rsid w:val="00B4162B"/>
    <w:rsid w:val="00B432A5"/>
    <w:rsid w:val="00B44A32"/>
    <w:rsid w:val="00B4638E"/>
    <w:rsid w:val="00B4660F"/>
    <w:rsid w:val="00B514F5"/>
    <w:rsid w:val="00B51C18"/>
    <w:rsid w:val="00B52A7A"/>
    <w:rsid w:val="00B52BCF"/>
    <w:rsid w:val="00B5356C"/>
    <w:rsid w:val="00B7046C"/>
    <w:rsid w:val="00B70E19"/>
    <w:rsid w:val="00B74C89"/>
    <w:rsid w:val="00B77B6B"/>
    <w:rsid w:val="00B8025C"/>
    <w:rsid w:val="00B8238C"/>
    <w:rsid w:val="00B84461"/>
    <w:rsid w:val="00B86FFE"/>
    <w:rsid w:val="00B9082F"/>
    <w:rsid w:val="00B90E17"/>
    <w:rsid w:val="00B9139C"/>
    <w:rsid w:val="00B9318E"/>
    <w:rsid w:val="00B946BD"/>
    <w:rsid w:val="00B954DF"/>
    <w:rsid w:val="00B968D0"/>
    <w:rsid w:val="00BA0559"/>
    <w:rsid w:val="00BA1CA1"/>
    <w:rsid w:val="00BA36CB"/>
    <w:rsid w:val="00BB3037"/>
    <w:rsid w:val="00BB6CD3"/>
    <w:rsid w:val="00BB6E90"/>
    <w:rsid w:val="00BC2E03"/>
    <w:rsid w:val="00BC3374"/>
    <w:rsid w:val="00BC361B"/>
    <w:rsid w:val="00BC53E6"/>
    <w:rsid w:val="00BC6B2D"/>
    <w:rsid w:val="00BC6B9C"/>
    <w:rsid w:val="00BD086D"/>
    <w:rsid w:val="00BD1602"/>
    <w:rsid w:val="00BD1A3D"/>
    <w:rsid w:val="00BD4B00"/>
    <w:rsid w:val="00BD4B08"/>
    <w:rsid w:val="00BD4BA4"/>
    <w:rsid w:val="00BE00BA"/>
    <w:rsid w:val="00BE242A"/>
    <w:rsid w:val="00BE27B1"/>
    <w:rsid w:val="00BF51E9"/>
    <w:rsid w:val="00C015DD"/>
    <w:rsid w:val="00C020C9"/>
    <w:rsid w:val="00C03F6D"/>
    <w:rsid w:val="00C07B26"/>
    <w:rsid w:val="00C11F14"/>
    <w:rsid w:val="00C13556"/>
    <w:rsid w:val="00C14772"/>
    <w:rsid w:val="00C16580"/>
    <w:rsid w:val="00C20DFE"/>
    <w:rsid w:val="00C2592D"/>
    <w:rsid w:val="00C27B04"/>
    <w:rsid w:val="00C27B68"/>
    <w:rsid w:val="00C32D32"/>
    <w:rsid w:val="00C34168"/>
    <w:rsid w:val="00C37CEC"/>
    <w:rsid w:val="00C41DD5"/>
    <w:rsid w:val="00C443C4"/>
    <w:rsid w:val="00C45BAB"/>
    <w:rsid w:val="00C4716A"/>
    <w:rsid w:val="00C47528"/>
    <w:rsid w:val="00C47C47"/>
    <w:rsid w:val="00C52E48"/>
    <w:rsid w:val="00C645B9"/>
    <w:rsid w:val="00C656CD"/>
    <w:rsid w:val="00C6694C"/>
    <w:rsid w:val="00C66FB1"/>
    <w:rsid w:val="00C67E1C"/>
    <w:rsid w:val="00C71F19"/>
    <w:rsid w:val="00C743C7"/>
    <w:rsid w:val="00C83EEA"/>
    <w:rsid w:val="00C84D17"/>
    <w:rsid w:val="00C944E8"/>
    <w:rsid w:val="00C975C5"/>
    <w:rsid w:val="00CA009A"/>
    <w:rsid w:val="00CA3163"/>
    <w:rsid w:val="00CB6C9B"/>
    <w:rsid w:val="00CC157F"/>
    <w:rsid w:val="00CC3151"/>
    <w:rsid w:val="00CC4D92"/>
    <w:rsid w:val="00CC65F1"/>
    <w:rsid w:val="00CD44CF"/>
    <w:rsid w:val="00CF22B9"/>
    <w:rsid w:val="00CF4DE0"/>
    <w:rsid w:val="00CF52AF"/>
    <w:rsid w:val="00CF6C74"/>
    <w:rsid w:val="00CF7A55"/>
    <w:rsid w:val="00D0173B"/>
    <w:rsid w:val="00D01C45"/>
    <w:rsid w:val="00D1111F"/>
    <w:rsid w:val="00D13297"/>
    <w:rsid w:val="00D14D82"/>
    <w:rsid w:val="00D218DA"/>
    <w:rsid w:val="00D223F1"/>
    <w:rsid w:val="00D24FA3"/>
    <w:rsid w:val="00D27BDA"/>
    <w:rsid w:val="00D30A91"/>
    <w:rsid w:val="00D30F53"/>
    <w:rsid w:val="00D335E6"/>
    <w:rsid w:val="00D3405B"/>
    <w:rsid w:val="00D36C83"/>
    <w:rsid w:val="00D415CD"/>
    <w:rsid w:val="00D430E9"/>
    <w:rsid w:val="00D43157"/>
    <w:rsid w:val="00D50A13"/>
    <w:rsid w:val="00D610AC"/>
    <w:rsid w:val="00D63B10"/>
    <w:rsid w:val="00D65539"/>
    <w:rsid w:val="00D66956"/>
    <w:rsid w:val="00D66EE7"/>
    <w:rsid w:val="00D673D5"/>
    <w:rsid w:val="00D700F6"/>
    <w:rsid w:val="00D73624"/>
    <w:rsid w:val="00D768F2"/>
    <w:rsid w:val="00D80C52"/>
    <w:rsid w:val="00D9160D"/>
    <w:rsid w:val="00D93D5C"/>
    <w:rsid w:val="00D96681"/>
    <w:rsid w:val="00D976B9"/>
    <w:rsid w:val="00DA04F4"/>
    <w:rsid w:val="00DA06D8"/>
    <w:rsid w:val="00DA16C9"/>
    <w:rsid w:val="00DA1F3A"/>
    <w:rsid w:val="00DA2EE0"/>
    <w:rsid w:val="00DA4888"/>
    <w:rsid w:val="00DA6848"/>
    <w:rsid w:val="00DB1916"/>
    <w:rsid w:val="00DC15B8"/>
    <w:rsid w:val="00DC6B48"/>
    <w:rsid w:val="00DC6EA6"/>
    <w:rsid w:val="00DC7D34"/>
    <w:rsid w:val="00DE49D1"/>
    <w:rsid w:val="00DE68EF"/>
    <w:rsid w:val="00DF0420"/>
    <w:rsid w:val="00DF419F"/>
    <w:rsid w:val="00DF6693"/>
    <w:rsid w:val="00DF7DB1"/>
    <w:rsid w:val="00E01455"/>
    <w:rsid w:val="00E01B17"/>
    <w:rsid w:val="00E03F64"/>
    <w:rsid w:val="00E04537"/>
    <w:rsid w:val="00E10A47"/>
    <w:rsid w:val="00E12AB4"/>
    <w:rsid w:val="00E1378F"/>
    <w:rsid w:val="00E13C03"/>
    <w:rsid w:val="00E15549"/>
    <w:rsid w:val="00E1769C"/>
    <w:rsid w:val="00E20C4C"/>
    <w:rsid w:val="00E342FE"/>
    <w:rsid w:val="00E34DF2"/>
    <w:rsid w:val="00E3566A"/>
    <w:rsid w:val="00E35DF7"/>
    <w:rsid w:val="00E360ED"/>
    <w:rsid w:val="00E378B7"/>
    <w:rsid w:val="00E44560"/>
    <w:rsid w:val="00E47EA2"/>
    <w:rsid w:val="00E50229"/>
    <w:rsid w:val="00E51481"/>
    <w:rsid w:val="00E55D85"/>
    <w:rsid w:val="00E574E0"/>
    <w:rsid w:val="00E63F2C"/>
    <w:rsid w:val="00E700EE"/>
    <w:rsid w:val="00E7112C"/>
    <w:rsid w:val="00E72D73"/>
    <w:rsid w:val="00E7698E"/>
    <w:rsid w:val="00E77332"/>
    <w:rsid w:val="00E77D53"/>
    <w:rsid w:val="00E81360"/>
    <w:rsid w:val="00E8764E"/>
    <w:rsid w:val="00E91FD9"/>
    <w:rsid w:val="00E92D66"/>
    <w:rsid w:val="00E935F7"/>
    <w:rsid w:val="00E955B8"/>
    <w:rsid w:val="00EA0021"/>
    <w:rsid w:val="00EA072A"/>
    <w:rsid w:val="00EA2C9E"/>
    <w:rsid w:val="00EA2FBB"/>
    <w:rsid w:val="00EA5297"/>
    <w:rsid w:val="00EA778D"/>
    <w:rsid w:val="00EB12F0"/>
    <w:rsid w:val="00EB17A4"/>
    <w:rsid w:val="00EB246A"/>
    <w:rsid w:val="00EB270B"/>
    <w:rsid w:val="00EB33DE"/>
    <w:rsid w:val="00EB3724"/>
    <w:rsid w:val="00EB540D"/>
    <w:rsid w:val="00EC1A67"/>
    <w:rsid w:val="00EC259F"/>
    <w:rsid w:val="00EC27C8"/>
    <w:rsid w:val="00EC544C"/>
    <w:rsid w:val="00EC5AD5"/>
    <w:rsid w:val="00EC60B1"/>
    <w:rsid w:val="00EC7A20"/>
    <w:rsid w:val="00ED0C7D"/>
    <w:rsid w:val="00ED3B94"/>
    <w:rsid w:val="00ED58EE"/>
    <w:rsid w:val="00EE1B0D"/>
    <w:rsid w:val="00EE2FA1"/>
    <w:rsid w:val="00EE3426"/>
    <w:rsid w:val="00EE6279"/>
    <w:rsid w:val="00EF0DEC"/>
    <w:rsid w:val="00EF5680"/>
    <w:rsid w:val="00EF6784"/>
    <w:rsid w:val="00F03374"/>
    <w:rsid w:val="00F04B88"/>
    <w:rsid w:val="00F07752"/>
    <w:rsid w:val="00F12490"/>
    <w:rsid w:val="00F1336A"/>
    <w:rsid w:val="00F150C8"/>
    <w:rsid w:val="00F2034E"/>
    <w:rsid w:val="00F2506C"/>
    <w:rsid w:val="00F2697A"/>
    <w:rsid w:val="00F375BE"/>
    <w:rsid w:val="00F44EC9"/>
    <w:rsid w:val="00F549BD"/>
    <w:rsid w:val="00F57319"/>
    <w:rsid w:val="00F57798"/>
    <w:rsid w:val="00F579BF"/>
    <w:rsid w:val="00F57AC3"/>
    <w:rsid w:val="00F62B66"/>
    <w:rsid w:val="00F653A6"/>
    <w:rsid w:val="00F657D5"/>
    <w:rsid w:val="00F673A6"/>
    <w:rsid w:val="00F7065A"/>
    <w:rsid w:val="00F75441"/>
    <w:rsid w:val="00F77260"/>
    <w:rsid w:val="00F81E48"/>
    <w:rsid w:val="00F82193"/>
    <w:rsid w:val="00F8389C"/>
    <w:rsid w:val="00F861BB"/>
    <w:rsid w:val="00F86ED7"/>
    <w:rsid w:val="00F91509"/>
    <w:rsid w:val="00F929A9"/>
    <w:rsid w:val="00F94150"/>
    <w:rsid w:val="00F94213"/>
    <w:rsid w:val="00F97C8C"/>
    <w:rsid w:val="00FA1DA2"/>
    <w:rsid w:val="00FA4D89"/>
    <w:rsid w:val="00FA5FD7"/>
    <w:rsid w:val="00FA6D84"/>
    <w:rsid w:val="00FB61B7"/>
    <w:rsid w:val="00FB6533"/>
    <w:rsid w:val="00FC0E4C"/>
    <w:rsid w:val="00FC149A"/>
    <w:rsid w:val="00FC4FCD"/>
    <w:rsid w:val="00FC5C6F"/>
    <w:rsid w:val="00FC6FCF"/>
    <w:rsid w:val="00FC7E7B"/>
    <w:rsid w:val="00FD2A92"/>
    <w:rsid w:val="00FD3D95"/>
    <w:rsid w:val="00FE049C"/>
    <w:rsid w:val="00FE48B9"/>
    <w:rsid w:val="00FE63F4"/>
    <w:rsid w:val="00FF05E7"/>
    <w:rsid w:val="00FF09FB"/>
    <w:rsid w:val="00FF0C63"/>
    <w:rsid w:val="00FF25F8"/>
    <w:rsid w:val="00FF428E"/>
    <w:rsid w:val="00FF5865"/>
    <w:rsid w:val="03AA28F8"/>
    <w:rsid w:val="06274651"/>
    <w:rsid w:val="06457DC9"/>
    <w:rsid w:val="06725354"/>
    <w:rsid w:val="06952ADA"/>
    <w:rsid w:val="0A3C1819"/>
    <w:rsid w:val="0B4736D6"/>
    <w:rsid w:val="0B680E4B"/>
    <w:rsid w:val="14D84017"/>
    <w:rsid w:val="1623745E"/>
    <w:rsid w:val="1B601F2B"/>
    <w:rsid w:val="1C7C71F3"/>
    <w:rsid w:val="1D8313D0"/>
    <w:rsid w:val="1E7B1263"/>
    <w:rsid w:val="1EB36CA1"/>
    <w:rsid w:val="26437DEE"/>
    <w:rsid w:val="26A84EF2"/>
    <w:rsid w:val="27C05458"/>
    <w:rsid w:val="32116D11"/>
    <w:rsid w:val="35967134"/>
    <w:rsid w:val="3BB16DC7"/>
    <w:rsid w:val="437A6EEC"/>
    <w:rsid w:val="449E2AB1"/>
    <w:rsid w:val="45742FE2"/>
    <w:rsid w:val="472332A7"/>
    <w:rsid w:val="48E173E6"/>
    <w:rsid w:val="4A851748"/>
    <w:rsid w:val="564B751E"/>
    <w:rsid w:val="571129CC"/>
    <w:rsid w:val="5E3E4C2D"/>
    <w:rsid w:val="5EC416E4"/>
    <w:rsid w:val="678C171A"/>
    <w:rsid w:val="69D0594F"/>
    <w:rsid w:val="6D4205FE"/>
    <w:rsid w:val="710A12F9"/>
    <w:rsid w:val="713C5FA3"/>
    <w:rsid w:val="722969F8"/>
    <w:rsid w:val="74B33BEC"/>
    <w:rsid w:val="79E710BF"/>
    <w:rsid w:val="79FF7673"/>
    <w:rsid w:val="7FD6755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semiHidden="0"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name="Body Text"/>
    <w:lsdException w:qFormat="1" w:unhideWhenUsed="0" w:uiPriority="99"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qFormat="1" w:uiPriority="99" w:semiHidden="0"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semiHidden="0"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0"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color w:val="000000"/>
      <w:kern w:val="2"/>
      <w:sz w:val="24"/>
      <w:lang w:val="en-US" w:eastAsia="zh-CN" w:bidi="ar-SA"/>
    </w:rPr>
  </w:style>
  <w:style w:type="paragraph" w:styleId="2">
    <w:name w:val="heading 1"/>
    <w:basedOn w:val="1"/>
    <w:next w:val="1"/>
    <w:link w:val="21"/>
    <w:qFormat/>
    <w:uiPriority w:val="99"/>
    <w:pPr>
      <w:keepNext/>
      <w:keepLines/>
      <w:spacing w:before="340" w:after="330" w:line="578" w:lineRule="auto"/>
      <w:outlineLvl w:val="0"/>
    </w:pPr>
    <w:rPr>
      <w:rFonts w:ascii="Times New Roman" w:hAnsi="Times New Roman" w:cs="Times New Roman"/>
      <w:b/>
      <w:bCs/>
      <w:color w:val="auto"/>
      <w:kern w:val="44"/>
      <w:sz w:val="44"/>
      <w:szCs w:val="44"/>
    </w:rPr>
  </w:style>
  <w:style w:type="paragraph" w:styleId="3">
    <w:name w:val="heading 2"/>
    <w:basedOn w:val="1"/>
    <w:next w:val="1"/>
    <w:link w:val="22"/>
    <w:qFormat/>
    <w:uiPriority w:val="99"/>
    <w:pPr>
      <w:keepNext/>
      <w:keepLines/>
      <w:spacing w:before="260" w:after="260" w:line="416" w:lineRule="auto"/>
      <w:outlineLvl w:val="1"/>
    </w:pPr>
    <w:rPr>
      <w:rFonts w:ascii="Cambria" w:hAnsi="Cambria" w:cs="Times New Roman"/>
      <w:b/>
      <w:bCs/>
      <w:kern w:val="0"/>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3"/>
    <w:semiHidden/>
    <w:qFormat/>
    <w:uiPriority w:val="99"/>
    <w:pPr>
      <w:jc w:val="left"/>
    </w:pPr>
    <w:rPr>
      <w:rFonts w:ascii="Times New Roman" w:hAnsi="Times New Roman" w:cs="Times New Roman"/>
      <w:color w:val="auto"/>
      <w:kern w:val="0"/>
      <w:szCs w:val="24"/>
    </w:rPr>
  </w:style>
  <w:style w:type="paragraph" w:styleId="5">
    <w:name w:val="Body Text"/>
    <w:basedOn w:val="1"/>
    <w:link w:val="24"/>
    <w:semiHidden/>
    <w:qFormat/>
    <w:uiPriority w:val="99"/>
    <w:pPr>
      <w:spacing w:after="120"/>
    </w:pPr>
    <w:rPr>
      <w:rFonts w:cs="Times New Roman"/>
      <w:kern w:val="0"/>
      <w:sz w:val="20"/>
    </w:rPr>
  </w:style>
  <w:style w:type="paragraph" w:styleId="6">
    <w:name w:val="Body Text Indent"/>
    <w:basedOn w:val="1"/>
    <w:link w:val="25"/>
    <w:semiHidden/>
    <w:qFormat/>
    <w:uiPriority w:val="99"/>
    <w:pPr>
      <w:spacing w:after="120"/>
      <w:ind w:left="420" w:leftChars="200"/>
    </w:pPr>
    <w:rPr>
      <w:rFonts w:cs="Times New Roman"/>
      <w:kern w:val="0"/>
      <w:sz w:val="20"/>
    </w:rPr>
  </w:style>
  <w:style w:type="paragraph" w:styleId="7">
    <w:name w:val="Plain Text"/>
    <w:basedOn w:val="1"/>
    <w:link w:val="26"/>
    <w:qFormat/>
    <w:uiPriority w:val="99"/>
    <w:rPr>
      <w:rFonts w:hAnsi="Courier New" w:cs="Times New Roman"/>
      <w:color w:val="auto"/>
      <w:kern w:val="0"/>
      <w:sz w:val="20"/>
    </w:rPr>
  </w:style>
  <w:style w:type="paragraph" w:styleId="8">
    <w:name w:val="Date"/>
    <w:basedOn w:val="1"/>
    <w:next w:val="1"/>
    <w:link w:val="27"/>
    <w:qFormat/>
    <w:uiPriority w:val="99"/>
    <w:rPr>
      <w:rFonts w:hAnsi="Times New Roman" w:cs="Times New Roman"/>
      <w:color w:val="auto"/>
      <w:kern w:val="0"/>
      <w:sz w:val="20"/>
    </w:rPr>
  </w:style>
  <w:style w:type="paragraph" w:styleId="9">
    <w:name w:val="Body Text Indent 2"/>
    <w:basedOn w:val="1"/>
    <w:link w:val="28"/>
    <w:qFormat/>
    <w:uiPriority w:val="99"/>
    <w:pPr>
      <w:spacing w:line="480" w:lineRule="auto"/>
      <w:ind w:left="480"/>
    </w:pPr>
    <w:rPr>
      <w:rFonts w:ascii="Times New Roman" w:hAnsi="Times New Roman" w:cs="Times New Roman"/>
      <w:color w:val="auto"/>
      <w:kern w:val="0"/>
      <w:sz w:val="20"/>
    </w:rPr>
  </w:style>
  <w:style w:type="paragraph" w:styleId="10">
    <w:name w:val="Balloon Text"/>
    <w:basedOn w:val="1"/>
    <w:link w:val="29"/>
    <w:semiHidden/>
    <w:qFormat/>
    <w:uiPriority w:val="99"/>
    <w:rPr>
      <w:rFonts w:cs="Times New Roman"/>
      <w:kern w:val="0"/>
      <w:sz w:val="18"/>
      <w:szCs w:val="18"/>
    </w:rPr>
  </w:style>
  <w:style w:type="paragraph" w:styleId="11">
    <w:name w:val="footer"/>
    <w:basedOn w:val="1"/>
    <w:link w:val="30"/>
    <w:qFormat/>
    <w:uiPriority w:val="99"/>
    <w:pPr>
      <w:tabs>
        <w:tab w:val="center" w:pos="4153"/>
        <w:tab w:val="right" w:pos="8306"/>
      </w:tabs>
      <w:adjustRightInd w:val="0"/>
      <w:spacing w:line="240" w:lineRule="atLeast"/>
      <w:jc w:val="left"/>
      <w:textAlignment w:val="baseline"/>
    </w:pPr>
    <w:rPr>
      <w:rFonts w:cs="Times New Roman"/>
      <w:kern w:val="0"/>
      <w:sz w:val="20"/>
    </w:rPr>
  </w:style>
  <w:style w:type="paragraph" w:styleId="12">
    <w:name w:val="header"/>
    <w:basedOn w:val="1"/>
    <w:link w:val="31"/>
    <w:qFormat/>
    <w:uiPriority w:val="99"/>
    <w:pPr>
      <w:pBdr>
        <w:bottom w:val="single" w:color="auto" w:sz="6" w:space="1"/>
      </w:pBdr>
      <w:tabs>
        <w:tab w:val="center" w:pos="4153"/>
        <w:tab w:val="right" w:pos="8306"/>
      </w:tabs>
      <w:snapToGrid w:val="0"/>
      <w:jc w:val="center"/>
    </w:pPr>
    <w:rPr>
      <w:rFonts w:cs="Times New Roman"/>
      <w:kern w:val="0"/>
      <w:sz w:val="18"/>
      <w:szCs w:val="18"/>
    </w:rPr>
  </w:style>
  <w:style w:type="paragraph" w:styleId="13">
    <w:name w:val="Body Text Indent 3"/>
    <w:basedOn w:val="1"/>
    <w:link w:val="37"/>
    <w:unhideWhenUsed/>
    <w:qFormat/>
    <w:locked/>
    <w:uiPriority w:val="99"/>
    <w:pPr>
      <w:spacing w:after="120"/>
      <w:ind w:left="420" w:leftChars="200"/>
    </w:pPr>
    <w:rPr>
      <w:rFonts w:cs="Times New Roman"/>
      <w:sz w:val="16"/>
      <w:szCs w:val="16"/>
    </w:rPr>
  </w:style>
  <w:style w:type="paragraph" w:styleId="14">
    <w:name w:val="Normal (Web)"/>
    <w:basedOn w:val="1"/>
    <w:qFormat/>
    <w:locked/>
    <w:uiPriority w:val="0"/>
    <w:pPr>
      <w:widowControl/>
      <w:spacing w:before="100" w:beforeAutospacing="1" w:after="100" w:afterAutospacing="1"/>
      <w:jc w:val="left"/>
    </w:pPr>
    <w:rPr>
      <w:color w:val="auto"/>
      <w:kern w:val="0"/>
      <w:szCs w:val="24"/>
    </w:rPr>
  </w:style>
  <w:style w:type="paragraph" w:styleId="15">
    <w:name w:val="annotation subject"/>
    <w:basedOn w:val="4"/>
    <w:next w:val="4"/>
    <w:link w:val="34"/>
    <w:unhideWhenUsed/>
    <w:qFormat/>
    <w:locked/>
    <w:uiPriority w:val="99"/>
    <w:rPr>
      <w:rFonts w:ascii="宋体" w:hAnsi="宋体"/>
      <w:b/>
      <w:bCs/>
      <w:color w:val="000000"/>
      <w:kern w:val="2"/>
    </w:rPr>
  </w:style>
  <w:style w:type="table" w:styleId="17">
    <w:name w:val="Table Grid"/>
    <w:basedOn w:val="16"/>
    <w:qFormat/>
    <w:locked/>
    <w:uiPriority w:val="0"/>
    <w:pPr>
      <w:widowControl w:val="0"/>
      <w:jc w:val="both"/>
    </w:pPr>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qFormat/>
    <w:uiPriority w:val="99"/>
    <w:rPr>
      <w:rFonts w:cs="Times New Roman"/>
    </w:rPr>
  </w:style>
  <w:style w:type="character" w:styleId="20">
    <w:name w:val="annotation reference"/>
    <w:unhideWhenUsed/>
    <w:qFormat/>
    <w:locked/>
    <w:uiPriority w:val="99"/>
    <w:rPr>
      <w:sz w:val="21"/>
      <w:szCs w:val="21"/>
    </w:rPr>
  </w:style>
  <w:style w:type="character" w:customStyle="1" w:styleId="21">
    <w:name w:val="标题 1 Char"/>
    <w:link w:val="2"/>
    <w:qFormat/>
    <w:locked/>
    <w:uiPriority w:val="99"/>
    <w:rPr>
      <w:rFonts w:ascii="Times New Roman" w:hAnsi="Times New Roman" w:eastAsia="宋体" w:cs="Times New Roman"/>
      <w:b/>
      <w:bCs/>
      <w:kern w:val="44"/>
      <w:sz w:val="44"/>
      <w:szCs w:val="44"/>
    </w:rPr>
  </w:style>
  <w:style w:type="character" w:customStyle="1" w:styleId="22">
    <w:name w:val="标题 2 Char"/>
    <w:link w:val="3"/>
    <w:semiHidden/>
    <w:qFormat/>
    <w:locked/>
    <w:uiPriority w:val="99"/>
    <w:rPr>
      <w:rFonts w:ascii="Cambria" w:hAnsi="Cambria" w:eastAsia="宋体" w:cs="Times New Roman"/>
      <w:b/>
      <w:bCs/>
      <w:color w:val="000000"/>
      <w:sz w:val="32"/>
      <w:szCs w:val="32"/>
    </w:rPr>
  </w:style>
  <w:style w:type="character" w:customStyle="1" w:styleId="23">
    <w:name w:val="批注文字 Char"/>
    <w:link w:val="4"/>
    <w:semiHidden/>
    <w:qFormat/>
    <w:locked/>
    <w:uiPriority w:val="99"/>
    <w:rPr>
      <w:rFonts w:ascii="Times New Roman" w:hAnsi="Times New Roman" w:eastAsia="宋体" w:cs="Times New Roman"/>
      <w:sz w:val="24"/>
      <w:szCs w:val="24"/>
    </w:rPr>
  </w:style>
  <w:style w:type="character" w:customStyle="1" w:styleId="24">
    <w:name w:val="正文文本 Char"/>
    <w:link w:val="5"/>
    <w:semiHidden/>
    <w:qFormat/>
    <w:locked/>
    <w:uiPriority w:val="99"/>
    <w:rPr>
      <w:rFonts w:ascii="宋体" w:hAnsi="宋体" w:eastAsia="宋体" w:cs="宋体"/>
      <w:color w:val="000000"/>
      <w:sz w:val="20"/>
      <w:szCs w:val="20"/>
    </w:rPr>
  </w:style>
  <w:style w:type="character" w:customStyle="1" w:styleId="25">
    <w:name w:val="正文文本缩进 Char"/>
    <w:link w:val="6"/>
    <w:semiHidden/>
    <w:qFormat/>
    <w:locked/>
    <w:uiPriority w:val="99"/>
    <w:rPr>
      <w:rFonts w:ascii="宋体" w:hAnsi="宋体" w:eastAsia="宋体" w:cs="宋体"/>
      <w:color w:val="000000"/>
      <w:sz w:val="20"/>
      <w:szCs w:val="20"/>
    </w:rPr>
  </w:style>
  <w:style w:type="character" w:customStyle="1" w:styleId="26">
    <w:name w:val="纯文本 Char"/>
    <w:link w:val="7"/>
    <w:qFormat/>
    <w:locked/>
    <w:uiPriority w:val="99"/>
    <w:rPr>
      <w:rFonts w:ascii="宋体" w:hAnsi="Courier New" w:eastAsia="宋体" w:cs="Times New Roman"/>
      <w:sz w:val="20"/>
      <w:szCs w:val="20"/>
    </w:rPr>
  </w:style>
  <w:style w:type="character" w:customStyle="1" w:styleId="27">
    <w:name w:val="日期 Char"/>
    <w:link w:val="8"/>
    <w:qFormat/>
    <w:locked/>
    <w:uiPriority w:val="99"/>
    <w:rPr>
      <w:rFonts w:ascii="宋体" w:hAnsi="Times New Roman" w:eastAsia="宋体" w:cs="Times New Roman"/>
      <w:sz w:val="20"/>
      <w:szCs w:val="20"/>
    </w:rPr>
  </w:style>
  <w:style w:type="character" w:customStyle="1" w:styleId="28">
    <w:name w:val="正文文本缩进 2 Char"/>
    <w:link w:val="9"/>
    <w:qFormat/>
    <w:locked/>
    <w:uiPriority w:val="99"/>
    <w:rPr>
      <w:rFonts w:ascii="Times New Roman" w:hAnsi="Times New Roman" w:eastAsia="宋体" w:cs="Times New Roman"/>
      <w:sz w:val="20"/>
      <w:szCs w:val="20"/>
    </w:rPr>
  </w:style>
  <w:style w:type="character" w:customStyle="1" w:styleId="29">
    <w:name w:val="批注框文本 Char"/>
    <w:link w:val="10"/>
    <w:semiHidden/>
    <w:qFormat/>
    <w:locked/>
    <w:uiPriority w:val="99"/>
    <w:rPr>
      <w:rFonts w:ascii="宋体" w:hAnsi="宋体" w:eastAsia="宋体" w:cs="宋体"/>
      <w:color w:val="000000"/>
      <w:sz w:val="18"/>
      <w:szCs w:val="18"/>
    </w:rPr>
  </w:style>
  <w:style w:type="character" w:customStyle="1" w:styleId="30">
    <w:name w:val="页脚 Char"/>
    <w:link w:val="11"/>
    <w:qFormat/>
    <w:locked/>
    <w:uiPriority w:val="99"/>
    <w:rPr>
      <w:rFonts w:ascii="宋体" w:hAnsi="宋体" w:eastAsia="宋体" w:cs="宋体"/>
      <w:color w:val="000000"/>
      <w:kern w:val="0"/>
      <w:sz w:val="20"/>
      <w:szCs w:val="20"/>
    </w:rPr>
  </w:style>
  <w:style w:type="character" w:customStyle="1" w:styleId="31">
    <w:name w:val="页眉 Char"/>
    <w:link w:val="12"/>
    <w:qFormat/>
    <w:locked/>
    <w:uiPriority w:val="99"/>
    <w:rPr>
      <w:rFonts w:ascii="宋体" w:hAnsi="宋体" w:eastAsia="宋体" w:cs="宋体"/>
      <w:color w:val="000000"/>
      <w:sz w:val="18"/>
      <w:szCs w:val="18"/>
    </w:rPr>
  </w:style>
  <w:style w:type="paragraph" w:customStyle="1" w:styleId="32">
    <w:name w:val="列出段落1"/>
    <w:basedOn w:val="1"/>
    <w:qFormat/>
    <w:uiPriority w:val="99"/>
    <w:pPr>
      <w:ind w:firstLine="420" w:firstLineChars="200"/>
    </w:pPr>
  </w:style>
  <w:style w:type="paragraph" w:customStyle="1" w:styleId="33">
    <w:name w:val="缺省文本"/>
    <w:basedOn w:val="1"/>
    <w:qFormat/>
    <w:uiPriority w:val="0"/>
    <w:pPr>
      <w:autoSpaceDE w:val="0"/>
      <w:autoSpaceDN w:val="0"/>
      <w:adjustRightInd w:val="0"/>
      <w:jc w:val="left"/>
    </w:pPr>
    <w:rPr>
      <w:rFonts w:ascii="Times New Roman" w:hAnsi="Times New Roman" w:cs="Times New Roman"/>
      <w:color w:val="auto"/>
      <w:kern w:val="0"/>
      <w:szCs w:val="24"/>
    </w:rPr>
  </w:style>
  <w:style w:type="character" w:customStyle="1" w:styleId="34">
    <w:name w:val="批注主题 Char"/>
    <w:link w:val="15"/>
    <w:semiHidden/>
    <w:qFormat/>
    <w:uiPriority w:val="99"/>
    <w:rPr>
      <w:rFonts w:ascii="宋体" w:hAnsi="宋体" w:eastAsia="宋体" w:cs="宋体"/>
      <w:b/>
      <w:bCs/>
      <w:color w:val="000000"/>
      <w:kern w:val="2"/>
      <w:sz w:val="24"/>
      <w:szCs w:val="24"/>
    </w:rPr>
  </w:style>
  <w:style w:type="paragraph" w:customStyle="1" w:styleId="35">
    <w:name w:val="Default"/>
    <w:qFormat/>
    <w:uiPriority w:val="0"/>
    <w:pPr>
      <w:widowControl w:val="0"/>
      <w:autoSpaceDE w:val="0"/>
      <w:autoSpaceDN w:val="0"/>
      <w:adjustRightInd w:val="0"/>
    </w:pPr>
    <w:rPr>
      <w:rFonts w:ascii="Myriad Pro" w:hAnsi="Times New Roman" w:eastAsia="Myriad Pro" w:cs="Myriad Pro"/>
      <w:color w:val="000000"/>
      <w:sz w:val="24"/>
      <w:szCs w:val="24"/>
      <w:lang w:val="en-US" w:eastAsia="zh-CN" w:bidi="ar-SA"/>
    </w:rPr>
  </w:style>
  <w:style w:type="character" w:customStyle="1" w:styleId="36">
    <w:name w:val="样式 宋体 四号"/>
    <w:qFormat/>
    <w:uiPriority w:val="0"/>
    <w:rPr>
      <w:rFonts w:ascii="宋体" w:hAnsi="宋体" w:eastAsia="仿宋_GB2312"/>
      <w:sz w:val="28"/>
    </w:rPr>
  </w:style>
  <w:style w:type="character" w:customStyle="1" w:styleId="37">
    <w:name w:val="正文文本缩进 3 Char"/>
    <w:link w:val="13"/>
    <w:semiHidden/>
    <w:qFormat/>
    <w:uiPriority w:val="99"/>
    <w:rPr>
      <w:rFonts w:ascii="宋体" w:hAnsi="宋体" w:cs="宋体"/>
      <w:color w:val="000000"/>
      <w:kern w:val="2"/>
      <w:sz w:val="16"/>
      <w:szCs w:val="16"/>
    </w:rPr>
  </w:style>
  <w:style w:type="paragraph" w:customStyle="1" w:styleId="38">
    <w:name w:val="正文文本 31"/>
    <w:basedOn w:val="1"/>
    <w:qFormat/>
    <w:uiPriority w:val="0"/>
    <w:pPr>
      <w:widowControl/>
      <w:overflowPunct w:val="0"/>
      <w:autoSpaceDE w:val="0"/>
      <w:autoSpaceDN w:val="0"/>
      <w:adjustRightInd w:val="0"/>
      <w:jc w:val="left"/>
      <w:textAlignment w:val="baseline"/>
    </w:pPr>
    <w:rPr>
      <w:rFonts w:ascii="Times New Roman" w:hAnsi="Times New Roman" w:cs="Times New Roman"/>
      <w:color w:val="auto"/>
      <w:kern w:val="0"/>
      <w:sz w:val="22"/>
    </w:rPr>
  </w:style>
  <w:style w:type="paragraph" w:customStyle="1" w:styleId="39">
    <w:name w:val="修订1"/>
    <w:hidden/>
    <w:semiHidden/>
    <w:qFormat/>
    <w:uiPriority w:val="99"/>
    <w:rPr>
      <w:rFonts w:ascii="宋体" w:hAnsi="宋体" w:eastAsia="宋体" w:cs="宋体"/>
      <w:color w:val="000000"/>
      <w:kern w:val="2"/>
      <w:sz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57C80-DAD2-4C98-80B1-1D9CC2E20A9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1700</Words>
  <Characters>1780</Characters>
  <Lines>13</Lines>
  <Paragraphs>3</Paragraphs>
  <TotalTime>18</TotalTime>
  <ScaleCrop>false</ScaleCrop>
  <LinksUpToDate>false</LinksUpToDate>
  <CharactersWithSpaces>1889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2020-07-14T04:04:00Z</dcterms:created>
  <dc:creator>USER</dc:creator>
  <cp:lastModifiedBy>momo</cp:lastModifiedBy>
  <cp:lastPrinted>2020-08-18T02:31:00Z</cp:lastPrinted>
  <dcterms:modified xsi:type="dcterms:W3CDTF">2026-08-18T07:59:33Z</dcterms:modified>
  <dc:title>备件采购框架合同</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3F533A05E8AB48BDA1434FF26AA93A08_13</vt:lpwstr>
  </property>
  <property fmtid="{D5CDD505-2E9C-101B-9397-08002B2CF9AE}" pid="4" name="KSOTemplateDocerSaveRecord">
    <vt:lpwstr>eyJoZGlkIjoiYzQ3MzlhOGZlMDEwMjQwNWIxMmUyYzU5ZGQ5Y2U3ODQiLCJ1c2VySWQiOiIxNzcwMjQyMTQ4In0=</vt:lpwstr>
  </property>
</Properties>
</file>