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评估委托合同</w:t>
      </w:r>
    </w:p>
    <w:p>
      <w:pPr>
        <w:pStyle w:val="2"/>
        <w:spacing w:afterLines="0" w:line="490" w:lineRule="exact"/>
        <w:ind w:firstLine="0" w:firstLineChars="0"/>
        <w:jc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rPr>
        <w:t>(</w:t>
      </w:r>
      <w:r>
        <w:rPr>
          <w:rFonts w:hint="eastAsia" w:ascii="仿宋_GB2312" w:hAnsi="仿宋_GB2312" w:eastAsia="仿宋_GB2312" w:cs="仿宋_GB2312"/>
          <w:b w:val="0"/>
          <w:color w:val="000000"/>
          <w:sz w:val="28"/>
          <w:szCs w:val="28"/>
          <w:lang w:eastAsia="zh-CN"/>
        </w:rPr>
        <w:t>编号：</w:t>
      </w:r>
      <w:r>
        <w:rPr>
          <w:rFonts w:hint="eastAsia" w:ascii="仿宋_GB2312" w:hAnsi="仿宋_GB2312" w:eastAsia="仿宋_GB2312" w:cs="仿宋_GB2312"/>
          <w:b w:val="0"/>
          <w:color w:val="000000"/>
          <w:sz w:val="28"/>
          <w:szCs w:val="28"/>
          <w:lang w:val="en-US" w:eastAsia="zh-CN"/>
        </w:rPr>
        <w:t>GTZC-</w:t>
      </w:r>
      <w:r>
        <w:rPr>
          <w:rFonts w:hint="eastAsia" w:ascii="仿宋_GB2312" w:hAnsi="仿宋_GB2312" w:eastAsia="仿宋_GB2312" w:cs="仿宋_GB2312"/>
          <w:b w:val="0"/>
          <w:color w:val="000000"/>
          <w:sz w:val="28"/>
          <w:szCs w:val="28"/>
          <w:u w:val="none"/>
          <w:lang w:val="en-US" w:eastAsia="zh-CN"/>
        </w:rPr>
        <w:t>202</w:t>
      </w:r>
      <w:r>
        <w:rPr>
          <w:rFonts w:hint="eastAsia" w:ascii="仿宋_GB2312" w:hAnsi="仿宋_GB2312" w:eastAsia="仿宋_GB2312" w:cs="仿宋_GB2312"/>
          <w:b w:val="0"/>
          <w:color w:val="000000"/>
          <w:sz w:val="28"/>
          <w:szCs w:val="28"/>
          <w:u w:val="single"/>
          <w:lang w:val="en-US" w:eastAsia="zh-CN"/>
        </w:rPr>
        <w:t xml:space="preserve"> </w:t>
      </w:r>
      <w:r>
        <w:rPr>
          <w:rFonts w:hint="eastAsia" w:ascii="仿宋_GB2312" w:hAnsi="仿宋_GB2312" w:eastAsia="仿宋_GB2312" w:cs="仿宋_GB2312"/>
          <w:b w:val="0"/>
          <w:color w:val="000000"/>
          <w:sz w:val="28"/>
          <w:szCs w:val="28"/>
          <w:u w:val="none"/>
          <w:lang w:val="en-US" w:eastAsia="zh-CN"/>
        </w:rPr>
        <w:t xml:space="preserve"> </w:t>
      </w:r>
      <w:r>
        <w:rPr>
          <w:rFonts w:hint="eastAsia" w:ascii="仿宋_GB2312" w:hAnsi="仿宋_GB2312" w:eastAsia="仿宋_GB2312" w:cs="仿宋_GB2312"/>
          <w:b w:val="0"/>
          <w:color w:val="000000"/>
          <w:sz w:val="28"/>
          <w:szCs w:val="28"/>
          <w:lang w:val="en-US" w:eastAsia="zh-CN"/>
        </w:rPr>
        <w:t>-</w:t>
      </w:r>
      <w:r>
        <w:rPr>
          <w:rFonts w:hint="eastAsia" w:ascii="仿宋_GB2312" w:hAnsi="仿宋_GB2312" w:eastAsia="仿宋_GB2312" w:cs="仿宋_GB2312"/>
          <w:b w:val="0"/>
          <w:color w:val="000000"/>
          <w:sz w:val="28"/>
          <w:szCs w:val="28"/>
          <w:u w:val="single"/>
          <w:lang w:val="en-US" w:eastAsia="zh-CN"/>
        </w:rPr>
        <w:t xml:space="preserve">  </w:t>
      </w:r>
      <w:r>
        <w:rPr>
          <w:rFonts w:hint="eastAsia" w:ascii="仿宋_GB2312" w:hAnsi="仿宋_GB2312" w:eastAsia="仿宋_GB2312" w:cs="仿宋_GB2312"/>
          <w:b w:val="0"/>
          <w:color w:val="000000"/>
          <w:sz w:val="28"/>
          <w:szCs w:val="28"/>
          <w:lang w:val="en-US" w:eastAsia="zh-CN"/>
        </w:rPr>
        <w:t>)</w:t>
      </w:r>
    </w:p>
    <w:p>
      <w:pPr>
        <w:widowControl w:val="0"/>
        <w:spacing w:afterLines="0" w:line="490" w:lineRule="exact"/>
        <w:ind w:firstLine="562" w:firstLineChars="200"/>
        <w:jc w:val="both"/>
        <w:rPr>
          <w:rFonts w:hint="eastAsia" w:ascii="仿宋_GB2312" w:hAnsi="仿宋_GB2312" w:eastAsia="仿宋_GB2312" w:cs="仿宋_GB2312"/>
          <w:color w:val="000000"/>
          <w:kern w:val="2"/>
          <w:sz w:val="28"/>
          <w:szCs w:val="28"/>
        </w:rPr>
      </w:pP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b w:val="0"/>
          <w:bCs w:val="0"/>
          <w:color w:val="000000"/>
          <w:sz w:val="28"/>
          <w:szCs w:val="28"/>
        </w:rPr>
        <w:t>委托方一：</w:t>
      </w:r>
      <w:r>
        <w:rPr>
          <w:rFonts w:hint="eastAsia" w:ascii="仿宋_GB2312" w:hAnsi="仿宋_GB2312" w:eastAsia="仿宋_GB2312" w:cs="仿宋_GB2312"/>
          <w:color w:val="000000"/>
          <w:sz w:val="28"/>
          <w:szCs w:val="28"/>
          <w:u w:val="single"/>
        </w:rPr>
        <w:t>龙岩市国有资产投资经营有限公司</w:t>
      </w:r>
      <w:r>
        <w:rPr>
          <w:rFonts w:hint="eastAsia" w:ascii="仿宋_GB2312" w:hAnsi="仿宋_GB2312" w:eastAsia="仿宋_GB2312" w:cs="仿宋_GB2312"/>
          <w:color w:val="000000"/>
          <w:sz w:val="28"/>
          <w:szCs w:val="28"/>
        </w:rPr>
        <w:t>（以下简称甲方一）</w:t>
      </w: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b w:val="0"/>
          <w:bCs w:val="0"/>
          <w:color w:val="000000"/>
          <w:sz w:val="28"/>
          <w:szCs w:val="28"/>
        </w:rPr>
        <w:t>委托方二：</w:t>
      </w:r>
      <w:r>
        <w:rPr>
          <w:rFonts w:hint="eastAsia" w:ascii="仿宋_GB2312" w:hAnsi="仿宋_GB2312" w:eastAsia="仿宋_GB2312" w:cs="仿宋_GB2312"/>
          <w:color w:val="000000"/>
          <w:sz w:val="28"/>
          <w:szCs w:val="28"/>
          <w:u w:val="single"/>
        </w:rPr>
        <w:t>福建德晖实业有限公司</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none"/>
        </w:rPr>
        <w:t>（以下简称甲方二）</w:t>
      </w:r>
    </w:p>
    <w:p>
      <w:pPr>
        <w:widowControl w:val="0"/>
        <w:spacing w:after="0" w:afterLines="0" w:line="490" w:lineRule="exact"/>
        <w:ind w:firstLine="562" w:firstLineChars="200"/>
        <w:jc w:val="both"/>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b w:val="0"/>
          <w:bCs w:val="0"/>
          <w:color w:val="000000"/>
          <w:sz w:val="28"/>
          <w:szCs w:val="28"/>
        </w:rPr>
        <w:t>受托方：</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rPr>
        <w:t>（以下简称乙方）</w:t>
      </w:r>
    </w:p>
    <w:p>
      <w:pPr>
        <w:widowControl w:val="0"/>
        <w:spacing w:afterLines="0" w:line="490" w:lineRule="exact"/>
        <w:ind w:firstLine="562" w:firstLineChars="200"/>
        <w:jc w:val="both"/>
        <w:rPr>
          <w:rFonts w:hint="eastAsia" w:ascii="仿宋_GB2312" w:hAnsi="仿宋_GB2312" w:eastAsia="仿宋_GB2312" w:cs="仿宋_GB2312"/>
          <w:color w:val="000000"/>
          <w:sz w:val="28"/>
          <w:szCs w:val="28"/>
        </w:rPr>
      </w:pPr>
    </w:p>
    <w:p>
      <w:pPr>
        <w:widowControl w:val="0"/>
        <w:spacing w:afterLines="0" w:line="490" w:lineRule="exact"/>
        <w:ind w:firstLine="562" w:firstLineChars="200"/>
        <w:jc w:val="both"/>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sz w:val="28"/>
          <w:szCs w:val="28"/>
        </w:rPr>
        <w:t>甲方</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甲方一、甲方二合称“甲方”</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与乙方经友好协商，就甲方委托乙方对其所属资产的市场价值进行评估的有关事宜，依据《中华人民共和国民法典》及资产评估相关法律法规，经友好协商，订立本合同，以资共同遵守。</w:t>
      </w:r>
    </w:p>
    <w:p>
      <w:pPr>
        <w:widowControl w:val="0"/>
        <w:spacing w:before="0" w:after="0" w:afterLines="0" w:line="490" w:lineRule="exact"/>
        <w:ind w:firstLine="562" w:firstLineChars="200"/>
        <w:jc w:val="both"/>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rPr>
        <w:t>一、委托评估目的</w:t>
      </w:r>
    </w:p>
    <w:p>
      <w:pPr>
        <w:widowControl w:val="0"/>
        <w:spacing w:before="0"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为</w:t>
      </w:r>
      <w:r>
        <w:rPr>
          <w:rFonts w:hint="eastAsia" w:ascii="仿宋_GB2312" w:hAnsi="仿宋_GB2312" w:eastAsia="仿宋_GB2312" w:cs="仿宋_GB2312"/>
          <w:sz w:val="28"/>
          <w:szCs w:val="28"/>
          <w:lang w:val="en-US" w:eastAsia="zh-CN"/>
        </w:rPr>
        <w:t>甲方</w:t>
      </w:r>
      <w:r>
        <w:rPr>
          <w:rFonts w:hint="eastAsia" w:ascii="仿宋_GB2312" w:hAnsi="仿宋_GB2312" w:eastAsia="仿宋_GB2312" w:cs="仿宋_GB2312"/>
          <w:sz w:val="28"/>
          <w:szCs w:val="28"/>
          <w:lang w:eastAsia="zh-CN"/>
        </w:rPr>
        <w:t>年度</w:t>
      </w:r>
      <w:r>
        <w:rPr>
          <w:rFonts w:hint="eastAsia" w:ascii="仿宋_GB2312" w:hAnsi="仿宋_GB2312" w:eastAsia="仿宋_GB2312" w:cs="仿宋_GB2312"/>
          <w:sz w:val="28"/>
          <w:szCs w:val="28"/>
        </w:rPr>
        <w:t>资产</w:t>
      </w:r>
      <w:r>
        <w:rPr>
          <w:rFonts w:hint="eastAsia" w:ascii="仿宋_GB2312" w:hAnsi="仿宋_GB2312" w:eastAsia="仿宋_GB2312" w:cs="仿宋_GB2312"/>
          <w:color w:val="000000"/>
          <w:sz w:val="28"/>
          <w:szCs w:val="28"/>
        </w:rPr>
        <w:t>租赁底价</w:t>
      </w:r>
      <w:r>
        <w:rPr>
          <w:rFonts w:hint="eastAsia" w:ascii="仿宋_GB2312" w:hAnsi="仿宋_GB2312" w:eastAsia="仿宋_GB2312" w:cs="仿宋_GB2312"/>
          <w:color w:val="000000"/>
          <w:sz w:val="28"/>
          <w:szCs w:val="28"/>
          <w:lang w:eastAsia="zh-CN"/>
        </w:rPr>
        <w:t>、资产转让</w:t>
      </w:r>
      <w:r>
        <w:rPr>
          <w:rFonts w:hint="eastAsia" w:ascii="仿宋_GB2312" w:hAnsi="仿宋_GB2312" w:eastAsia="仿宋_GB2312" w:cs="仿宋_GB2312"/>
          <w:color w:val="000000"/>
          <w:sz w:val="28"/>
          <w:szCs w:val="28"/>
        </w:rPr>
        <w:t>提供评估服务。</w:t>
      </w:r>
    </w:p>
    <w:p>
      <w:pPr>
        <w:pStyle w:val="9"/>
        <w:spacing w:before="0" w:after="0" w:afterLines="0" w:line="490" w:lineRule="exact"/>
        <w:ind w:left="0" w:firstLine="562" w:firstLineChars="200"/>
        <w:jc w:val="both"/>
        <w:rPr>
          <w:rFonts w:hint="eastAsia" w:ascii="黑体" w:hAnsi="黑体" w:eastAsia="黑体" w:cs="黑体"/>
          <w:b w:val="0"/>
          <w:bCs/>
          <w:color w:val="000000"/>
          <w:sz w:val="28"/>
          <w:szCs w:val="28"/>
        </w:rPr>
      </w:pPr>
      <w:r>
        <w:rPr>
          <w:rFonts w:hint="eastAsia" w:ascii="黑体" w:hAnsi="黑体" w:eastAsia="黑体" w:cs="黑体"/>
          <w:b w:val="0"/>
          <w:bCs/>
          <w:color w:val="000000"/>
          <w:sz w:val="28"/>
          <w:szCs w:val="28"/>
        </w:rPr>
        <w:t>二、评估的范围和数量</w:t>
      </w:r>
    </w:p>
    <w:p>
      <w:pPr>
        <w:pStyle w:val="9"/>
        <w:spacing w:before="0" w:after="0" w:afterLines="0" w:line="490" w:lineRule="exact"/>
        <w:ind w:left="0" w:firstLine="562" w:firstLineChars="200"/>
        <w:jc w:val="both"/>
        <w:rPr>
          <w:rFonts w:hint="eastAsia" w:ascii="仿宋_GB2312" w:hAnsi="仿宋_GB2312" w:eastAsia="仿宋_GB2312" w:cs="仿宋_GB2312"/>
          <w:b w:val="0"/>
          <w:bCs/>
          <w:color w:val="000000"/>
          <w:sz w:val="28"/>
          <w:szCs w:val="28"/>
          <w:lang w:eastAsia="zh-CN"/>
        </w:rPr>
      </w:pPr>
      <w:r>
        <w:rPr>
          <w:rFonts w:hint="eastAsia" w:ascii="仿宋_GB2312" w:hAnsi="仿宋_GB2312" w:eastAsia="仿宋_GB2312" w:cs="仿宋_GB2312"/>
          <w:b w:val="0"/>
          <w:bCs/>
          <w:color w:val="000000"/>
          <w:sz w:val="28"/>
          <w:szCs w:val="28"/>
        </w:rPr>
        <w:t>评估范围包括但不限于《2027-2029年拟委托租金评估资产清单》</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rPr>
        <w:t>《2027-2029年度拟委托转让评估资产清单》（详见附件）。其中租金评估资产根据每年资产空置、租赁合同到期等实际情况动态增减、按需分批委托；转让评估资产由甲方根据资产处置需要按需委托，具体以甲方书面评估业务通知为准。甲方一、甲方二的资产分别委托、分别评估、分别出具评估报告。</w:t>
      </w:r>
    </w:p>
    <w:p>
      <w:pPr>
        <w:widowControl w:val="0"/>
        <w:spacing w:after="0" w:afterLines="0" w:line="490" w:lineRule="exact"/>
        <w:ind w:firstLine="562" w:firstLineChars="200"/>
        <w:jc w:val="both"/>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rPr>
        <w:t>三、评估基准日</w:t>
      </w:r>
    </w:p>
    <w:p>
      <w:pPr>
        <w:widowControl w:val="0"/>
        <w:spacing w:after="0" w:afterLines="0" w:line="490" w:lineRule="exact"/>
        <w:ind w:firstLine="562" w:firstLineChars="200"/>
        <w:jc w:val="both"/>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sz w:val="28"/>
          <w:szCs w:val="28"/>
        </w:rPr>
        <w:t>以现场勘查之日为准。</w:t>
      </w:r>
    </w:p>
    <w:p>
      <w:pPr>
        <w:widowControl w:val="0"/>
        <w:spacing w:after="0" w:afterLines="0" w:line="490" w:lineRule="exact"/>
        <w:ind w:firstLine="562" w:firstLineChars="200"/>
        <w:jc w:val="both"/>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rPr>
        <w:t>四、评估</w:t>
      </w:r>
      <w:r>
        <w:rPr>
          <w:rFonts w:hint="eastAsia" w:ascii="黑体" w:hAnsi="黑体" w:eastAsia="黑体" w:cs="黑体"/>
          <w:b w:val="0"/>
          <w:bCs w:val="0"/>
          <w:color w:val="000000"/>
          <w:sz w:val="28"/>
          <w:szCs w:val="28"/>
          <w:lang w:val="en-US" w:eastAsia="zh-CN"/>
        </w:rPr>
        <w:t>工作要求</w:t>
      </w: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1</w:t>
      </w:r>
      <w:r>
        <w:rPr>
          <w:rFonts w:hint="eastAsia" w:ascii="仿宋_GB2312" w:hAnsi="仿宋_GB2312" w:eastAsia="仿宋_GB2312" w:cs="仿宋_GB2312"/>
          <w:color w:val="000000"/>
          <w:sz w:val="28"/>
          <w:szCs w:val="28"/>
          <w:lang w:val="en-US" w:eastAsia="zh-CN"/>
        </w:rPr>
        <w:t>.乙方</w:t>
      </w:r>
      <w:r>
        <w:rPr>
          <w:rFonts w:hint="eastAsia" w:ascii="仿宋_GB2312" w:hAnsi="仿宋_GB2312" w:eastAsia="仿宋_GB2312" w:cs="仿宋_GB2312"/>
          <w:color w:val="000000"/>
          <w:sz w:val="28"/>
          <w:szCs w:val="28"/>
        </w:rPr>
        <w:t>对甲方</w:t>
      </w:r>
      <w:r>
        <w:rPr>
          <w:rFonts w:hint="eastAsia" w:ascii="仿宋_GB2312" w:hAnsi="仿宋_GB2312" w:eastAsia="仿宋_GB2312" w:cs="仿宋_GB2312"/>
          <w:color w:val="000000"/>
          <w:sz w:val="28"/>
          <w:szCs w:val="28"/>
          <w:lang w:val="en-US" w:eastAsia="zh-CN"/>
        </w:rPr>
        <w:t>提供的资料、</w:t>
      </w:r>
      <w:r>
        <w:rPr>
          <w:rFonts w:hint="eastAsia" w:ascii="仿宋_GB2312" w:hAnsi="仿宋_GB2312" w:eastAsia="仿宋_GB2312" w:cs="仿宋_GB2312"/>
          <w:color w:val="000000"/>
          <w:sz w:val="28"/>
          <w:szCs w:val="28"/>
        </w:rPr>
        <w:t>委托评估</w:t>
      </w:r>
      <w:r>
        <w:rPr>
          <w:rFonts w:hint="eastAsia" w:ascii="仿宋_GB2312" w:hAnsi="仿宋_GB2312" w:eastAsia="仿宋_GB2312" w:cs="仿宋_GB2312"/>
          <w:color w:val="000000"/>
          <w:sz w:val="28"/>
          <w:szCs w:val="28"/>
          <w:lang w:val="en-US" w:eastAsia="zh-CN"/>
        </w:rPr>
        <w:t>的实物资产必须</w:t>
      </w:r>
      <w:r>
        <w:rPr>
          <w:rFonts w:hint="eastAsia" w:ascii="仿宋_GB2312" w:hAnsi="仿宋_GB2312" w:eastAsia="仿宋_GB2312" w:cs="仿宋_GB2312"/>
          <w:color w:val="000000"/>
          <w:sz w:val="28"/>
          <w:szCs w:val="28"/>
        </w:rPr>
        <w:t>进行实地市场勘查、</w:t>
      </w:r>
      <w:r>
        <w:rPr>
          <w:rFonts w:hint="eastAsia" w:ascii="仿宋_GB2312" w:hAnsi="仿宋_GB2312" w:eastAsia="仿宋_GB2312" w:cs="仿宋_GB2312"/>
          <w:color w:val="000000"/>
          <w:sz w:val="28"/>
          <w:szCs w:val="28"/>
          <w:lang w:val="en-US" w:eastAsia="zh-CN"/>
        </w:rPr>
        <w:t>现场</w:t>
      </w:r>
      <w:r>
        <w:rPr>
          <w:rFonts w:hint="eastAsia" w:ascii="仿宋_GB2312" w:hAnsi="仿宋_GB2312" w:eastAsia="仿宋_GB2312" w:cs="仿宋_GB2312"/>
          <w:color w:val="000000"/>
          <w:sz w:val="28"/>
          <w:szCs w:val="28"/>
        </w:rPr>
        <w:t>核实，明确评估对象估价时点状况。</w:t>
      </w: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部分特殊评估标的，甲方无法提供面积数据的，由乙方自行完成现场测量并确定面积</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甲方不另行付费</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w:t>
      </w: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3</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rPr>
        <w:t>乙方在收到评估业务通知后两个工作日内，</w:t>
      </w:r>
      <w:r>
        <w:rPr>
          <w:rFonts w:hint="eastAsia" w:ascii="仿宋_GB2312" w:hAnsi="仿宋_GB2312" w:eastAsia="仿宋_GB2312" w:cs="仿宋_GB2312"/>
          <w:color w:val="000000"/>
          <w:sz w:val="28"/>
          <w:szCs w:val="28"/>
          <w:lang w:val="en-US" w:eastAsia="zh-CN"/>
        </w:rPr>
        <w:t>须</w:t>
      </w:r>
      <w:r>
        <w:rPr>
          <w:rFonts w:hint="eastAsia" w:ascii="仿宋_GB2312" w:hAnsi="仿宋_GB2312" w:eastAsia="仿宋_GB2312" w:cs="仿宋_GB2312"/>
          <w:color w:val="000000"/>
          <w:sz w:val="28"/>
          <w:szCs w:val="28"/>
        </w:rPr>
        <w:t>向甲方提交本次评估报告签字注册评估师</w:t>
      </w:r>
      <w:r>
        <w:rPr>
          <w:rFonts w:hint="eastAsia" w:ascii="仿宋_GB2312" w:hAnsi="仿宋_GB2312" w:eastAsia="仿宋_GB2312" w:cs="仿宋_GB2312"/>
          <w:color w:val="000000"/>
          <w:sz w:val="28"/>
          <w:szCs w:val="28"/>
          <w:lang w:val="en-US" w:eastAsia="zh-CN"/>
        </w:rPr>
        <w:t>的</w:t>
      </w:r>
      <w:r>
        <w:rPr>
          <w:rFonts w:hint="eastAsia" w:ascii="仿宋_GB2312" w:hAnsi="仿宋_GB2312" w:eastAsia="仿宋_GB2312" w:cs="仿宋_GB2312"/>
          <w:color w:val="000000"/>
          <w:sz w:val="28"/>
          <w:szCs w:val="28"/>
        </w:rPr>
        <w:t>身份证复印件，并安排至少一名对本次评估报告签字的注册评估师与甲方经办人员对接，并到现场察看评估标的物，否则以违约处理。</w:t>
      </w: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4</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rPr>
        <w:t>乙方收到甲方提供的相关资料后七个工作日内完成甲方委托的评估工作，并向甲方提交《评估报告书》初稿，经充分交换意见后，提交正式《评估报告书》。若因不可抗力因素需延长或提前完成评估工作，甲、乙双方需另行协商。</w:t>
      </w: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rPr>
        <w:t>甲方发现乙方在评估工作过程中或提交的评估报告初稿存在疏忽、遗漏、错误的，乙方应充分参考甲方提出的合理意见进行补充、修改、调整。</w:t>
      </w:r>
    </w:p>
    <w:p>
      <w:pPr>
        <w:widowControl w:val="0"/>
        <w:spacing w:after="0"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6</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rPr>
        <w:t>年度租金评估工作，乙方应依据甲方提供的资产评估清单至少分两批次组织实施。</w:t>
      </w:r>
    </w:p>
    <w:p>
      <w:pPr>
        <w:pStyle w:val="2"/>
        <w:spacing w:afterLines="0" w:line="490" w:lineRule="exact"/>
        <w:ind w:firstLine="562"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7.乙方须对甲方一和甲方二的资产分别进行评估，分别出具独立的评估报告。两份评估报告应各自明确委托人、产权持有单位、评估对象和评估范围，不得将两家甲方资产合并出具一份评估报告。</w:t>
      </w:r>
    </w:p>
    <w:p>
      <w:pPr>
        <w:pStyle w:val="2"/>
        <w:spacing w:afterLines="0" w:line="490" w:lineRule="exact"/>
        <w:ind w:firstLine="562"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具体操作要求如下：</w:t>
      </w:r>
    </w:p>
    <w:p>
      <w:pPr>
        <w:pStyle w:val="2"/>
        <w:spacing w:afterLines="0" w:line="490" w:lineRule="exact"/>
        <w:ind w:firstLine="562" w:firstLineChars="200"/>
        <w:rPr>
          <w:rFonts w:hint="default"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（1）乙方应在收到评估业务通知后，分别与甲方一、甲方二确认各自资产评估清单；</w:t>
      </w:r>
    </w:p>
    <w:p>
      <w:pPr>
        <w:pStyle w:val="2"/>
        <w:spacing w:afterLines="0" w:line="490" w:lineRule="exact"/>
        <w:ind w:firstLine="562" w:firstLineChars="200"/>
        <w:rPr>
          <w:rFonts w:hint="default"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（2）现场勘查应分别进行，分别记录勘查情况；</w:t>
      </w:r>
    </w:p>
    <w:p>
      <w:pPr>
        <w:pStyle w:val="2"/>
        <w:spacing w:afterLines="0" w:line="490" w:lineRule="exact"/>
        <w:ind w:firstLine="562" w:firstLineChars="200"/>
        <w:rPr>
          <w:rFonts w:hint="default"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（3）评估报告初稿应分别提交甲方一、甲方二审核确认；</w:t>
      </w:r>
    </w:p>
    <w:p>
      <w:pPr>
        <w:pStyle w:val="2"/>
        <w:spacing w:afterLines="0" w:line="490" w:lineRule="exact"/>
        <w:ind w:firstLine="562" w:firstLineChars="200"/>
        <w:rPr>
          <w:rFonts w:hint="default"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（4）正式评估报告应分别出具、分别编号、分别签章；</w:t>
      </w:r>
    </w:p>
    <w:p>
      <w:pPr>
        <w:pStyle w:val="2"/>
        <w:spacing w:afterLines="0" w:line="490" w:lineRule="exact"/>
        <w:ind w:firstLine="562" w:firstLineChars="200"/>
        <w:rPr>
          <w:rFonts w:hint="default"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（5）分别出具评估报告不增加额外费用，相关费用已包含在本次竞价报价内。</w:t>
      </w:r>
    </w:p>
    <w:p>
      <w:pPr>
        <w:widowControl w:val="0"/>
        <w:spacing w:before="0" w:after="0" w:afterLines="0" w:line="490" w:lineRule="exact"/>
        <w:ind w:firstLine="562" w:firstLineChars="200"/>
        <w:jc w:val="both"/>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rPr>
        <w:t>五、评估报告的使用范围</w:t>
      </w:r>
    </w:p>
    <w:p>
      <w:pPr>
        <w:widowControl w:val="0"/>
        <w:spacing w:before="0" w:after="0" w:afterLines="0" w:line="490" w:lineRule="exact"/>
        <w:ind w:firstLine="562" w:firstLineChars="200"/>
        <w:jc w:val="both"/>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sz w:val="28"/>
          <w:szCs w:val="28"/>
        </w:rPr>
        <w:t>乙方所提供的《评估报告书》及其评估报告说明用于甲方确定年度资产租赁底价、资产转让定价参考、甲方及甲方主管部门进行审查、国资备案、检查评估机构工作等用途。甲方有权将评估报告提供给甲方主管部门、审计机构、上级国资监管机构及其他依法需要获取评估报告的第三方。</w:t>
      </w:r>
    </w:p>
    <w:p>
      <w:pPr>
        <w:spacing w:afterLines="0" w:line="490" w:lineRule="exact"/>
        <w:ind w:firstLine="562" w:firstLineChars="200"/>
        <w:jc w:val="both"/>
        <w:rPr>
          <w:rFonts w:hint="eastAsia" w:ascii="黑体" w:hAnsi="黑体" w:eastAsia="黑体" w:cs="黑体"/>
          <w:bCs/>
          <w:color w:val="000000"/>
          <w:sz w:val="28"/>
          <w:szCs w:val="28"/>
          <w:lang w:eastAsia="zh-CN"/>
        </w:rPr>
      </w:pPr>
      <w:r>
        <w:rPr>
          <w:rFonts w:hint="eastAsia" w:ascii="黑体" w:hAnsi="黑体" w:eastAsia="黑体" w:cs="黑体"/>
          <w:b/>
          <w:bCs/>
          <w:color w:val="000000"/>
          <w:sz w:val="28"/>
          <w:szCs w:val="28"/>
        </w:rPr>
        <w:t>六、</w:t>
      </w:r>
      <w:r>
        <w:rPr>
          <w:rFonts w:hint="eastAsia" w:ascii="黑体" w:hAnsi="黑体" w:eastAsia="黑体" w:cs="黑体"/>
          <w:bCs/>
          <w:color w:val="000000"/>
          <w:sz w:val="28"/>
          <w:szCs w:val="28"/>
          <w:lang w:eastAsia="zh-CN"/>
        </w:rPr>
        <w:t>服务期限</w:t>
      </w:r>
    </w:p>
    <w:p>
      <w:pPr>
        <w:spacing w:afterLines="0" w:line="490" w:lineRule="exact"/>
        <w:ind w:firstLine="562" w:firstLineChars="200"/>
        <w:jc w:val="both"/>
        <w:rPr>
          <w:rFonts w:hint="eastAsia" w:ascii="仿宋_GB2312" w:hAnsi="仿宋_GB2312" w:eastAsia="仿宋_GB2312" w:cs="仿宋_GB2312"/>
          <w:bCs/>
          <w:color w:val="000000"/>
          <w:sz w:val="28"/>
          <w:szCs w:val="28"/>
          <w:lang w:val="en-US" w:eastAsia="zh-CN"/>
        </w:rPr>
      </w:pPr>
      <w:r>
        <w:rPr>
          <w:rFonts w:hint="eastAsia" w:ascii="仿宋_GB2312" w:hAnsi="仿宋_GB2312" w:eastAsia="仿宋_GB2312" w:cs="仿宋_GB2312"/>
          <w:bCs/>
          <w:color w:val="000000"/>
          <w:sz w:val="28"/>
          <w:szCs w:val="28"/>
          <w:lang w:val="en-US" w:eastAsia="zh-CN"/>
        </w:rPr>
        <w:t>首次服务期限自本合同生效之日起至2027年12月31日（即2027年度）。合同期满前一个月，三方均未书面提出异议的，合同自动延续一个自然年；合同续期最长不超过2029年12月31日。合同延续期间，评估服务费标准不变。如因市场行情发生重大变化需调整服务费标准的，三方应另行协商。</w:t>
      </w:r>
    </w:p>
    <w:p>
      <w:pPr>
        <w:widowControl w:val="0"/>
        <w:spacing w:afterLines="0" w:line="490" w:lineRule="exact"/>
        <w:ind w:firstLine="562" w:firstLineChars="200"/>
        <w:jc w:val="both"/>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lang w:val="en-US" w:eastAsia="zh-CN"/>
        </w:rPr>
        <w:t>七、</w:t>
      </w:r>
      <w:r>
        <w:rPr>
          <w:rFonts w:hint="eastAsia" w:ascii="黑体" w:hAnsi="黑体" w:eastAsia="黑体" w:cs="黑体"/>
          <w:b w:val="0"/>
          <w:bCs w:val="0"/>
          <w:color w:val="000000"/>
          <w:sz w:val="28"/>
          <w:szCs w:val="28"/>
        </w:rPr>
        <w:t>评估服务费</w:t>
      </w:r>
      <w:r>
        <w:rPr>
          <w:rFonts w:hint="eastAsia" w:ascii="黑体" w:hAnsi="黑体" w:eastAsia="黑体" w:cs="黑体"/>
          <w:b w:val="0"/>
          <w:bCs w:val="0"/>
          <w:color w:val="000000"/>
          <w:sz w:val="28"/>
          <w:szCs w:val="28"/>
          <w:lang w:val="en-US" w:eastAsia="zh-CN"/>
        </w:rPr>
        <w:t>及</w:t>
      </w:r>
      <w:r>
        <w:rPr>
          <w:rFonts w:hint="eastAsia" w:ascii="黑体" w:hAnsi="黑体" w:eastAsia="黑体" w:cs="黑体"/>
          <w:b w:val="0"/>
          <w:bCs w:val="0"/>
          <w:color w:val="000000"/>
          <w:sz w:val="28"/>
          <w:szCs w:val="28"/>
        </w:rPr>
        <w:t>支付方式</w:t>
      </w:r>
    </w:p>
    <w:p>
      <w:pPr>
        <w:spacing w:afterLines="0" w:line="490" w:lineRule="exact"/>
        <w:ind w:firstLine="562" w:firstLineChars="200"/>
        <w:jc w:val="both"/>
        <w:rPr>
          <w:rFonts w:hint="eastAsia" w:ascii="仿宋_GB2312" w:hAnsi="仿宋_GB2312" w:eastAsia="仿宋_GB2312" w:cs="仿宋_GB2312"/>
          <w:color w:val="000000"/>
          <w:sz w:val="28"/>
          <w:szCs w:val="28"/>
        </w:rPr>
      </w:pPr>
      <w:r>
        <w:rPr>
          <w:rFonts w:hint="eastAsia" w:ascii="楷体" w:hAnsi="楷体" w:eastAsia="楷体" w:cs="楷体"/>
          <w:b/>
          <w:bCs/>
          <w:color w:val="000000"/>
          <w:sz w:val="28"/>
          <w:szCs w:val="28"/>
          <w:lang w:val="en-US" w:eastAsia="zh-CN"/>
        </w:rPr>
        <w:t>1.</w:t>
      </w:r>
      <w:r>
        <w:rPr>
          <w:rFonts w:hint="eastAsia" w:ascii="楷体" w:hAnsi="楷体" w:eastAsia="楷体" w:cs="楷体"/>
          <w:b/>
          <w:bCs/>
          <w:color w:val="000000"/>
          <w:sz w:val="28"/>
          <w:szCs w:val="28"/>
        </w:rPr>
        <w:t>收费标准及依据</w:t>
      </w:r>
    </w:p>
    <w:p>
      <w:pPr>
        <w:widowControl w:val="0"/>
        <w:spacing w:before="0" w:after="0" w:afterLines="0" w:line="490" w:lineRule="exact"/>
        <w:ind w:firstLine="562" w:firstLineChars="2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本次</w:t>
      </w:r>
      <w:r>
        <w:rPr>
          <w:rFonts w:hint="eastAsia" w:ascii="仿宋_GB2312" w:hAnsi="仿宋_GB2312" w:eastAsia="仿宋_GB2312" w:cs="仿宋_GB2312"/>
          <w:color w:val="000000"/>
          <w:sz w:val="28"/>
          <w:szCs w:val="28"/>
        </w:rPr>
        <w:t>评估服务费为乙方在龙岩市产权交易中心有限公司举办的公开网络竞价中（项目编号：</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 xml:space="preserve"> ）所竞得的。</w:t>
      </w:r>
      <w:r>
        <w:rPr>
          <w:rFonts w:hint="eastAsia" w:ascii="仿宋_GB2312" w:hAnsi="仿宋_GB2312" w:eastAsia="仿宋_GB2312" w:cs="仿宋_GB2312"/>
          <w:color w:val="000000"/>
          <w:sz w:val="28"/>
          <w:szCs w:val="28"/>
          <w:lang w:val="en-US" w:eastAsia="zh-CN"/>
        </w:rPr>
        <w:t>其中</w:t>
      </w:r>
      <w:r>
        <w:rPr>
          <w:rFonts w:hint="eastAsia" w:ascii="仿宋_GB2312" w:hAnsi="仿宋_GB2312" w:eastAsia="仿宋_GB2312" w:cs="仿宋_GB2312"/>
          <w:color w:val="000000"/>
          <w:sz w:val="28"/>
          <w:szCs w:val="28"/>
        </w:rPr>
        <w:t>租金评估服务费用为人民币</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元</w:t>
      </w:r>
      <w:r>
        <w:rPr>
          <w:rFonts w:hint="eastAsia" w:ascii="仿宋_GB2312" w:hAnsi="仿宋_GB2312" w:eastAsia="仿宋_GB2312" w:cs="仿宋_GB2312"/>
          <w:color w:val="000000"/>
          <w:sz w:val="28"/>
          <w:szCs w:val="28"/>
          <w:lang w:val="en-US" w:eastAsia="zh-CN"/>
        </w:rPr>
        <w:t>/年</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元</w:t>
      </w:r>
      <w:r>
        <w:rPr>
          <w:rFonts w:hint="eastAsia" w:ascii="仿宋_GB2312" w:hAnsi="仿宋_GB2312" w:eastAsia="仿宋_GB2312" w:cs="仿宋_GB2312"/>
          <w:color w:val="000000"/>
          <w:sz w:val="28"/>
          <w:szCs w:val="28"/>
          <w:lang w:val="en-US" w:eastAsia="zh-CN"/>
        </w:rPr>
        <w:t>/年</w:t>
      </w:r>
      <w:r>
        <w:rPr>
          <w:rFonts w:hint="eastAsia" w:ascii="仿宋_GB2312" w:hAnsi="仿宋_GB2312" w:eastAsia="仿宋_GB2312" w:cs="仿宋_GB2312"/>
          <w:color w:val="000000"/>
          <w:sz w:val="28"/>
          <w:szCs w:val="28"/>
        </w:rPr>
        <w:t>，含税）</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转让评估费人民币</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元</w:t>
      </w:r>
      <w:r>
        <w:rPr>
          <w:rFonts w:hint="eastAsia" w:ascii="仿宋_GB2312" w:hAnsi="仿宋_GB2312" w:eastAsia="仿宋_GB2312" w:cs="仿宋_GB2312"/>
          <w:color w:val="000000"/>
          <w:sz w:val="28"/>
          <w:szCs w:val="28"/>
          <w:lang w:val="en-US" w:eastAsia="zh-CN"/>
        </w:rPr>
        <w:t>/处</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元</w:t>
      </w:r>
      <w:r>
        <w:rPr>
          <w:rFonts w:hint="eastAsia" w:ascii="仿宋_GB2312" w:hAnsi="仿宋_GB2312" w:eastAsia="仿宋_GB2312" w:cs="仿宋_GB2312"/>
          <w:color w:val="000000"/>
          <w:sz w:val="28"/>
          <w:szCs w:val="28"/>
          <w:lang w:val="en-US" w:eastAsia="zh-CN"/>
        </w:rPr>
        <w:t>/处</w:t>
      </w:r>
      <w:r>
        <w:rPr>
          <w:rFonts w:hint="eastAsia" w:ascii="仿宋_GB2312" w:hAnsi="仿宋_GB2312" w:eastAsia="仿宋_GB2312" w:cs="仿宋_GB2312"/>
          <w:color w:val="000000"/>
          <w:sz w:val="28"/>
          <w:szCs w:val="28"/>
        </w:rPr>
        <w:t>，含税）固定计取。</w:t>
      </w:r>
    </w:p>
    <w:p>
      <w:pPr>
        <w:widowControl w:val="0"/>
        <w:spacing w:before="0" w:after="0" w:afterLines="0" w:line="490" w:lineRule="exact"/>
        <w:ind w:firstLine="562" w:firstLineChars="200"/>
        <w:jc w:val="both"/>
        <w:rPr>
          <w:rFonts w:hint="eastAsia" w:ascii="楷体" w:hAnsi="楷体" w:eastAsia="楷体" w:cs="楷体"/>
          <w:b/>
          <w:bCs/>
          <w:color w:val="000000"/>
          <w:sz w:val="28"/>
          <w:szCs w:val="28"/>
        </w:rPr>
      </w:pPr>
      <w:r>
        <w:rPr>
          <w:rFonts w:hint="eastAsia" w:ascii="楷体" w:hAnsi="楷体" w:eastAsia="楷体" w:cs="楷体"/>
          <w:b/>
          <w:bCs/>
          <w:color w:val="000000"/>
          <w:sz w:val="28"/>
          <w:szCs w:val="28"/>
          <w:lang w:val="en-US" w:eastAsia="zh-CN"/>
        </w:rPr>
        <w:t>2.</w:t>
      </w:r>
      <w:r>
        <w:rPr>
          <w:rFonts w:hint="eastAsia" w:ascii="楷体" w:hAnsi="楷体" w:eastAsia="楷体" w:cs="楷体"/>
          <w:b/>
          <w:bCs/>
          <w:color w:val="000000"/>
          <w:sz w:val="28"/>
          <w:szCs w:val="28"/>
        </w:rPr>
        <w:t>支付方式</w:t>
      </w:r>
    </w:p>
    <w:p>
      <w:pPr>
        <w:spacing w:before="0" w:after="0" w:afterLines="0" w:line="490" w:lineRule="exact"/>
        <w:ind w:firstLine="562" w:firstLineChars="2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Cs w:val="0"/>
          <w:color w:val="000000"/>
          <w:sz w:val="28"/>
          <w:szCs w:val="28"/>
          <w:lang w:eastAsia="zh-CN"/>
        </w:rPr>
        <w:t>（</w:t>
      </w:r>
      <w:r>
        <w:rPr>
          <w:rFonts w:hint="eastAsia" w:ascii="仿宋_GB2312" w:hAnsi="仿宋_GB2312" w:eastAsia="仿宋_GB2312" w:cs="仿宋_GB2312"/>
          <w:bCs w:val="0"/>
          <w:color w:val="000000"/>
          <w:sz w:val="28"/>
          <w:szCs w:val="28"/>
          <w:lang w:val="en-US" w:eastAsia="zh-CN"/>
        </w:rPr>
        <w:t>1）租金评估服务费用：</w:t>
      </w:r>
      <w:r>
        <w:rPr>
          <w:rFonts w:hint="eastAsia" w:ascii="仿宋_GB2312" w:hAnsi="仿宋_GB2312" w:eastAsia="仿宋_GB2312" w:cs="仿宋_GB2312"/>
          <w:bCs w:val="0"/>
          <w:color w:val="000000"/>
          <w:sz w:val="28"/>
          <w:szCs w:val="28"/>
        </w:rPr>
        <w:t>甲方在收到乙方提供的第一批次</w:t>
      </w:r>
      <w:r>
        <w:rPr>
          <w:rFonts w:hint="eastAsia" w:ascii="仿宋_GB2312" w:hAnsi="仿宋_GB2312" w:eastAsia="仿宋_GB2312" w:cs="仿宋_GB2312"/>
          <w:bCs w:val="0"/>
          <w:color w:val="000000"/>
          <w:sz w:val="28"/>
          <w:szCs w:val="28"/>
          <w:lang w:eastAsia="zh-CN"/>
        </w:rPr>
        <w:t>正式</w:t>
      </w:r>
      <w:r>
        <w:rPr>
          <w:rFonts w:hint="eastAsia" w:ascii="仿宋_GB2312" w:hAnsi="仿宋_GB2312" w:eastAsia="仿宋_GB2312" w:cs="仿宋_GB2312"/>
          <w:bCs w:val="0"/>
          <w:color w:val="000000"/>
          <w:sz w:val="28"/>
          <w:szCs w:val="28"/>
        </w:rPr>
        <w:t>评估报告，且乙方提供合规增值税专用发票后十个工作日内，由甲方一、甲方二各承担成交</w:t>
      </w:r>
      <w:r>
        <w:rPr>
          <w:rFonts w:hint="eastAsia" w:ascii="仿宋_GB2312" w:hAnsi="仿宋_GB2312" w:eastAsia="仿宋_GB2312" w:cs="仿宋_GB2312"/>
          <w:bCs w:val="0"/>
          <w:color w:val="000000"/>
          <w:sz w:val="28"/>
          <w:szCs w:val="28"/>
          <w:lang w:val="en-US" w:eastAsia="zh-CN"/>
        </w:rPr>
        <w:t>年度评估服务费</w:t>
      </w:r>
      <w:r>
        <w:rPr>
          <w:rFonts w:hint="eastAsia" w:ascii="仿宋_GB2312" w:hAnsi="仿宋_GB2312" w:eastAsia="仿宋_GB2312" w:cs="仿宋_GB2312"/>
          <w:bCs w:val="0"/>
          <w:color w:val="000000"/>
          <w:sz w:val="28"/>
          <w:szCs w:val="28"/>
        </w:rPr>
        <w:t xml:space="preserve">的50%（即：甲方一支付 </w:t>
      </w:r>
      <w:r>
        <w:rPr>
          <w:rFonts w:hint="eastAsia" w:ascii="仿宋_GB2312" w:hAnsi="仿宋_GB2312" w:eastAsia="仿宋_GB2312" w:cs="仿宋_GB2312"/>
          <w:bCs w:val="0"/>
          <w:color w:val="000000"/>
          <w:sz w:val="28"/>
          <w:szCs w:val="28"/>
          <w:u w:val="single"/>
        </w:rPr>
        <w:t xml:space="preserve">         </w:t>
      </w:r>
      <w:r>
        <w:rPr>
          <w:rFonts w:hint="eastAsia" w:ascii="仿宋_GB2312" w:hAnsi="仿宋_GB2312" w:eastAsia="仿宋_GB2312" w:cs="仿宋_GB2312"/>
          <w:bCs w:val="0"/>
          <w:color w:val="000000"/>
          <w:sz w:val="28"/>
          <w:szCs w:val="28"/>
        </w:rPr>
        <w:t xml:space="preserve">元，甲方二支付 </w:t>
      </w:r>
      <w:r>
        <w:rPr>
          <w:rFonts w:hint="eastAsia" w:ascii="仿宋_GB2312" w:hAnsi="仿宋_GB2312" w:eastAsia="仿宋_GB2312" w:cs="仿宋_GB2312"/>
          <w:bCs w:val="0"/>
          <w:color w:val="000000"/>
          <w:sz w:val="28"/>
          <w:szCs w:val="28"/>
          <w:u w:val="single"/>
        </w:rPr>
        <w:t xml:space="preserve">        </w:t>
      </w:r>
      <w:r>
        <w:rPr>
          <w:rFonts w:hint="eastAsia" w:ascii="仿宋_GB2312" w:hAnsi="仿宋_GB2312" w:eastAsia="仿宋_GB2312" w:cs="仿宋_GB2312"/>
          <w:bCs w:val="0"/>
          <w:color w:val="000000"/>
          <w:sz w:val="28"/>
          <w:szCs w:val="28"/>
        </w:rPr>
        <w:t xml:space="preserve"> 元）；剩余租金评估尾款</w:t>
      </w:r>
      <w:r>
        <w:rPr>
          <w:rFonts w:hint="eastAsia" w:ascii="仿宋_GB2312" w:hAnsi="仿宋_GB2312" w:eastAsia="仿宋_GB2312" w:cs="仿宋_GB2312"/>
          <w:bCs w:val="0"/>
          <w:color w:val="000000"/>
          <w:sz w:val="28"/>
          <w:szCs w:val="28"/>
          <w:u w:val="single"/>
        </w:rPr>
        <w:t xml:space="preserve">         </w:t>
      </w:r>
      <w:r>
        <w:rPr>
          <w:rFonts w:hint="eastAsia" w:ascii="仿宋_GB2312" w:hAnsi="仿宋_GB2312" w:eastAsia="仿宋_GB2312" w:cs="仿宋_GB2312"/>
          <w:bCs w:val="0"/>
          <w:color w:val="000000"/>
          <w:sz w:val="28"/>
          <w:szCs w:val="28"/>
        </w:rPr>
        <w:t>元，待乙方完成当年度全部评估工作后结清。乙方应按甲方要求，分别向</w:t>
      </w:r>
      <w:r>
        <w:rPr>
          <w:rFonts w:hint="eastAsia" w:ascii="仿宋_GB2312" w:hAnsi="仿宋_GB2312" w:eastAsia="仿宋_GB2312" w:cs="仿宋_GB2312"/>
          <w:bCs w:val="0"/>
          <w:color w:val="000000"/>
          <w:sz w:val="28"/>
          <w:szCs w:val="28"/>
          <w:lang w:val="en-US" w:eastAsia="zh-CN"/>
        </w:rPr>
        <w:t>甲方一、二</w:t>
      </w:r>
      <w:r>
        <w:rPr>
          <w:rFonts w:hint="eastAsia" w:ascii="仿宋_GB2312" w:hAnsi="仿宋_GB2312" w:eastAsia="仿宋_GB2312" w:cs="仿宋_GB2312"/>
          <w:bCs w:val="0"/>
          <w:color w:val="000000"/>
          <w:sz w:val="28"/>
          <w:szCs w:val="28"/>
        </w:rPr>
        <w:t>出具对应主体的增值税专用发票。甲方一与甲方二在本合同项下的付款义务相互独立，各自按其应承担的比例向乙方支付费用，相互之间不承担连带责任。乙方不得因甲方一未支付费用而拒绝向甲方二履行评估义务或延迟交付甲方二所属资产的评估报告。</w:t>
      </w:r>
    </w:p>
    <w:p>
      <w:pPr>
        <w:spacing w:before="0" w:after="0" w:afterLines="0" w:line="490" w:lineRule="exact"/>
        <w:ind w:firstLine="562" w:firstLineChars="2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转让评估服务费用：甲方在收到乙方提供的正式评估报告，且乙方提供合规增值税专用发票后十个工作日内，由委托该次评估的主体支付本次转让评估服务费的80%；剩余20%尾款，待对应资产处置完成后支付（甲方终止资产处置的除外）。转让评估费用按实际委托主体分别计取、分别支付。</w:t>
      </w:r>
      <w:r>
        <w:rPr>
          <w:rFonts w:hint="eastAsia" w:ascii="仿宋_GB2312" w:hAnsi="仿宋_GB2312" w:eastAsia="仿宋_GB2312" w:cs="仿宋_GB2312"/>
          <w:bCs w:val="0"/>
          <w:color w:val="000000"/>
          <w:sz w:val="28"/>
          <w:szCs w:val="28"/>
        </w:rPr>
        <w:t>乙方应按甲方要求，分别向</w:t>
      </w:r>
      <w:r>
        <w:rPr>
          <w:rFonts w:hint="eastAsia" w:ascii="仿宋_GB2312" w:hAnsi="仿宋_GB2312" w:eastAsia="仿宋_GB2312" w:cs="仿宋_GB2312"/>
          <w:bCs w:val="0"/>
          <w:color w:val="000000"/>
          <w:sz w:val="28"/>
          <w:szCs w:val="28"/>
          <w:lang w:val="en-US" w:eastAsia="zh-CN"/>
        </w:rPr>
        <w:t>甲方一、二</w:t>
      </w:r>
      <w:r>
        <w:rPr>
          <w:rFonts w:hint="eastAsia" w:ascii="仿宋_GB2312" w:hAnsi="仿宋_GB2312" w:eastAsia="仿宋_GB2312" w:cs="仿宋_GB2312"/>
          <w:bCs w:val="0"/>
          <w:color w:val="000000"/>
          <w:sz w:val="28"/>
          <w:szCs w:val="28"/>
        </w:rPr>
        <w:t>出具对应主体的增值税专用发票。</w:t>
      </w:r>
    </w:p>
    <w:p>
      <w:pPr>
        <w:tabs>
          <w:tab w:val="left" w:pos="720"/>
        </w:tabs>
        <w:spacing w:afterLines="0" w:line="490" w:lineRule="exact"/>
        <w:ind w:firstLine="562" w:firstLineChars="200"/>
        <w:jc w:val="both"/>
        <w:rPr>
          <w:rFonts w:hint="eastAsia" w:ascii="仿宋_GB2312" w:hAnsi="仿宋_GB2312" w:eastAsia="仿宋_GB2312" w:cs="仿宋_GB2312"/>
          <w:b w:val="0"/>
          <w:bCs/>
          <w:color w:val="000000"/>
          <w:sz w:val="28"/>
          <w:szCs w:val="28"/>
        </w:rPr>
      </w:pPr>
      <w:r>
        <w:rPr>
          <w:rFonts w:hint="eastAsia" w:ascii="黑体" w:hAnsi="黑体" w:eastAsia="黑体" w:cs="黑体"/>
          <w:b w:val="0"/>
          <w:bCs/>
          <w:color w:val="000000"/>
          <w:sz w:val="28"/>
          <w:szCs w:val="28"/>
          <w:lang w:val="en-US" w:eastAsia="zh-CN"/>
        </w:rPr>
        <w:t>八</w:t>
      </w:r>
      <w:r>
        <w:rPr>
          <w:rFonts w:hint="eastAsia" w:ascii="黑体" w:hAnsi="黑体" w:eastAsia="黑体" w:cs="黑体"/>
          <w:b w:val="0"/>
          <w:bCs/>
          <w:color w:val="000000"/>
          <w:sz w:val="28"/>
          <w:szCs w:val="28"/>
        </w:rPr>
        <w:t>、</w:t>
      </w:r>
      <w:r>
        <w:rPr>
          <w:rFonts w:hint="eastAsia" w:ascii="黑体" w:hAnsi="黑体" w:eastAsia="黑体" w:cs="黑体"/>
          <w:b w:val="0"/>
          <w:bCs/>
          <w:color w:val="000000"/>
          <w:sz w:val="28"/>
          <w:szCs w:val="28"/>
          <w:lang w:val="en-US" w:eastAsia="zh-CN"/>
        </w:rPr>
        <w:t>双方权利及义务</w:t>
      </w:r>
    </w:p>
    <w:p>
      <w:pPr>
        <w:tabs>
          <w:tab w:val="left" w:pos="720"/>
        </w:tabs>
        <w:spacing w:afterLines="0" w:line="490" w:lineRule="exact"/>
        <w:ind w:firstLine="562" w:firstLineChars="200"/>
        <w:jc w:val="both"/>
        <w:rPr>
          <w:rFonts w:hint="eastAsia" w:ascii="楷体" w:hAnsi="楷体" w:eastAsia="楷体" w:cs="楷体"/>
          <w:b/>
          <w:bCs w:val="0"/>
          <w:color w:val="000000"/>
          <w:sz w:val="28"/>
          <w:szCs w:val="28"/>
          <w:lang w:val="en-US" w:eastAsia="zh-CN"/>
        </w:rPr>
      </w:pPr>
      <w:r>
        <w:rPr>
          <w:rFonts w:hint="eastAsia" w:ascii="楷体" w:hAnsi="楷体" w:eastAsia="楷体" w:cs="楷体"/>
          <w:b/>
          <w:bCs w:val="0"/>
          <w:color w:val="000000"/>
          <w:sz w:val="28"/>
          <w:szCs w:val="28"/>
          <w:lang w:val="en-US" w:eastAsia="zh-CN"/>
        </w:rPr>
        <w:t>1.</w:t>
      </w:r>
      <w:r>
        <w:rPr>
          <w:rFonts w:hint="eastAsia" w:ascii="楷体" w:hAnsi="楷体" w:eastAsia="楷体" w:cs="楷体"/>
          <w:b/>
          <w:bCs w:val="0"/>
          <w:color w:val="000000"/>
          <w:sz w:val="28"/>
          <w:szCs w:val="28"/>
        </w:rPr>
        <w:t>甲方的</w:t>
      </w:r>
      <w:r>
        <w:rPr>
          <w:rFonts w:hint="eastAsia" w:ascii="楷体" w:hAnsi="楷体" w:eastAsia="楷体" w:cs="楷体"/>
          <w:b/>
          <w:bCs w:val="0"/>
          <w:color w:val="000000"/>
          <w:sz w:val="28"/>
          <w:szCs w:val="28"/>
          <w:lang w:val="en-US" w:eastAsia="zh-CN"/>
        </w:rPr>
        <w:t>权利及义务</w:t>
      </w:r>
    </w:p>
    <w:p>
      <w:pPr>
        <w:spacing w:afterLines="0" w:line="490" w:lineRule="exact"/>
        <w:ind w:firstLine="562" w:firstLineChars="200"/>
        <w:jc w:val="both"/>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1</w:t>
      </w:r>
      <w:r>
        <w:rPr>
          <w:rFonts w:hint="eastAsia" w:ascii="仿宋_GB2312" w:hAnsi="仿宋_GB2312" w:eastAsia="仿宋_GB2312" w:cs="仿宋_GB2312"/>
          <w:bCs/>
          <w:color w:val="000000"/>
          <w:sz w:val="28"/>
          <w:szCs w:val="28"/>
          <w:lang w:eastAsia="zh-CN"/>
        </w:rPr>
        <w:t>）甲方有权了解评估工作进展情况，乙方应每两周向甲方书面报告评估工作进度。甲方有权要求乙方对评估方法、重要参数选取、评估结论等事项作出解释和说明。</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lang w:eastAsia="zh-CN"/>
        </w:rPr>
        <w:t>）乙方提交的评估报告初稿应分别提交甲方一、甲方二审核确认。甲方有权对评估报告初稿提出修改意见，乙方应充分参考甲方提出的合理意见进行补充、修改、调整，直至甲方确认后方可出具正式评估报告。</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3</w:t>
      </w:r>
      <w:r>
        <w:rPr>
          <w:rFonts w:hint="eastAsia" w:ascii="仿宋_GB2312" w:hAnsi="仿宋_GB2312" w:eastAsia="仿宋_GB2312" w:cs="仿宋_GB2312"/>
          <w:bCs/>
          <w:color w:val="000000"/>
          <w:sz w:val="28"/>
          <w:szCs w:val="28"/>
          <w:lang w:eastAsia="zh-CN"/>
        </w:rPr>
        <w:t>）甲方一、甲方二有权要求乙方分别对其所属资产进行评估并分别出具独立的评估报告。乙方不得将两家甲方资产合并出具一份评估报告。</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4</w:t>
      </w:r>
      <w:r>
        <w:rPr>
          <w:rFonts w:hint="eastAsia" w:ascii="仿宋_GB2312" w:hAnsi="仿宋_GB2312" w:eastAsia="仿宋_GB2312" w:cs="仿宋_GB2312"/>
          <w:bCs/>
          <w:color w:val="000000"/>
          <w:sz w:val="28"/>
          <w:szCs w:val="28"/>
          <w:lang w:eastAsia="zh-CN"/>
        </w:rPr>
        <w:t>）在本合同委托期限内，若乙方出具的评估报告严重偏离市场行情，或乙方存在其他根本违约行为，甲方有权另行选择第三方评估机构开展评估，由此产生的额外费用由乙方承担。</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5</w:t>
      </w:r>
      <w:r>
        <w:rPr>
          <w:rFonts w:hint="eastAsia" w:ascii="仿宋_GB2312" w:hAnsi="仿宋_GB2312" w:eastAsia="仿宋_GB2312" w:cs="仿宋_GB2312"/>
          <w:bCs/>
          <w:color w:val="000000"/>
          <w:sz w:val="28"/>
          <w:szCs w:val="28"/>
          <w:lang w:eastAsia="zh-CN"/>
        </w:rPr>
        <w:t>）甲方各方的付款以收到乙方提供的对应所属资产的正式评估报告并经甲方书面确认为前提条件。乙方未按本合同要求分别出具评估报告的，甲方有权拒绝支付对应款项。</w:t>
      </w:r>
    </w:p>
    <w:p>
      <w:pPr>
        <w:spacing w:afterLines="0" w:line="490" w:lineRule="exact"/>
        <w:ind w:firstLine="562" w:firstLineChars="200"/>
        <w:jc w:val="both"/>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6</w:t>
      </w:r>
      <w:r>
        <w:rPr>
          <w:rFonts w:hint="eastAsia" w:ascii="仿宋_GB2312" w:hAnsi="仿宋_GB2312" w:eastAsia="仿宋_GB2312" w:cs="仿宋_GB2312"/>
          <w:bCs/>
          <w:color w:val="000000"/>
          <w:sz w:val="28"/>
          <w:szCs w:val="28"/>
          <w:lang w:eastAsia="zh-CN"/>
        </w:rPr>
        <w:t>）甲方有权根据业务需要提前解除本合同，但应按照乙方已经开展评估业务的时间、进度或已完成的工作量支付相应的评估服务费。乙方存在本合同第十一条约定的违约行为的，甲方有权立即解除合同。</w:t>
      </w:r>
    </w:p>
    <w:p>
      <w:pPr>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7</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督促有关人员及时提供评估所需要的全部资料，包括</w:t>
      </w:r>
      <w:r>
        <w:rPr>
          <w:rFonts w:hint="eastAsia" w:ascii="仿宋_GB2312" w:hAnsi="仿宋_GB2312" w:eastAsia="仿宋_GB2312" w:cs="仿宋_GB2312"/>
          <w:bCs/>
          <w:color w:val="000000" w:themeColor="text1"/>
          <w:sz w:val="28"/>
          <w:szCs w:val="28"/>
          <w14:textFill>
            <w14:solidFill>
              <w14:schemeClr w14:val="tx1"/>
            </w14:solidFill>
          </w14:textFill>
        </w:rPr>
        <w:t>产权证明</w:t>
      </w:r>
      <w:r>
        <w:rPr>
          <w:rFonts w:hint="eastAsia" w:ascii="仿宋_GB2312" w:hAnsi="仿宋_GB2312" w:eastAsia="仿宋_GB2312" w:cs="仿宋_GB2312"/>
          <w:bCs/>
          <w:color w:val="000000"/>
          <w:sz w:val="28"/>
          <w:szCs w:val="28"/>
        </w:rPr>
        <w:t>等相关资料，并以签字、盖章或者电子邮件等其他方式确认所提供文件、资料的真实性、完整性和合法性。</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8</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密切配合乙方进行的评估工作，特别是在乙方进行现场勘察及其他资产抽查核实工作时，甲方应指定相关专业人员积极配合。</w:t>
      </w:r>
    </w:p>
    <w:p>
      <w:pPr>
        <w:pStyle w:val="6"/>
        <w:spacing w:before="0" w:after="0" w:afterLines="0" w:line="490" w:lineRule="exact"/>
        <w:ind w:left="0"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cs="仿宋_GB2312"/>
          <w:bCs/>
          <w:color w:val="000000"/>
          <w:sz w:val="28"/>
          <w:szCs w:val="28"/>
          <w:lang w:eastAsia="zh-CN"/>
        </w:rPr>
        <w:t>（</w:t>
      </w:r>
      <w:r>
        <w:rPr>
          <w:rFonts w:hint="eastAsia" w:ascii="仿宋_GB2312" w:hAnsi="仿宋_GB2312" w:cs="仿宋_GB2312"/>
          <w:bCs/>
          <w:color w:val="000000"/>
          <w:sz w:val="28"/>
          <w:szCs w:val="28"/>
          <w:lang w:val="en-US" w:eastAsia="zh-CN"/>
        </w:rPr>
        <w:t>9</w:t>
      </w:r>
      <w:r>
        <w:rPr>
          <w:rFonts w:hint="eastAsia" w:ascii="仿宋_GB2312" w:hAnsi="仿宋_GB2312" w:cs="仿宋_GB2312"/>
          <w:bCs/>
          <w:color w:val="000000"/>
          <w:sz w:val="28"/>
          <w:szCs w:val="28"/>
          <w:lang w:eastAsia="zh-CN"/>
        </w:rPr>
        <w:t>）</w:t>
      </w:r>
      <w:r>
        <w:rPr>
          <w:rFonts w:hint="eastAsia" w:ascii="仿宋_GB2312" w:hAnsi="仿宋_GB2312" w:eastAsia="仿宋_GB2312" w:cs="仿宋_GB2312"/>
          <w:bCs/>
          <w:color w:val="000000"/>
          <w:sz w:val="28"/>
          <w:szCs w:val="28"/>
        </w:rPr>
        <w:t>为乙方在工作过程中协调企业内部及与评估相关的其他各有关中介机构、外部管理部门的关系创造良好条件。</w:t>
      </w:r>
    </w:p>
    <w:p>
      <w:pPr>
        <w:pStyle w:val="6"/>
        <w:spacing w:before="0" w:after="0" w:afterLines="0" w:line="490" w:lineRule="exact"/>
        <w:ind w:left="0" w:firstLine="562" w:firstLineChars="200"/>
        <w:jc w:val="both"/>
        <w:rPr>
          <w:rFonts w:hint="eastAsia" w:ascii="仿宋_GB2312" w:hAnsi="仿宋_GB2312" w:eastAsia="仿宋_GB2312" w:cs="仿宋_GB2312"/>
          <w:bCs/>
          <w:color w:val="000000"/>
          <w:sz w:val="28"/>
          <w:szCs w:val="28"/>
          <w:lang w:eastAsia="zh-CN"/>
        </w:rPr>
      </w:pPr>
      <w:r>
        <w:rPr>
          <w:rFonts w:hint="eastAsia" w:ascii="仿宋_GB2312" w:hAnsi="仿宋_GB2312" w:cs="仿宋_GB2312"/>
          <w:bCs/>
          <w:color w:val="000000"/>
          <w:sz w:val="28"/>
          <w:szCs w:val="28"/>
          <w:lang w:eastAsia="zh-CN"/>
        </w:rPr>
        <w:t>（</w:t>
      </w:r>
      <w:r>
        <w:rPr>
          <w:rFonts w:hint="eastAsia" w:ascii="仿宋_GB2312" w:hAnsi="仿宋_GB2312" w:cs="仿宋_GB2312"/>
          <w:bCs/>
          <w:color w:val="000000"/>
          <w:sz w:val="28"/>
          <w:szCs w:val="28"/>
          <w:lang w:val="en-US" w:eastAsia="zh-CN"/>
        </w:rPr>
        <w:t>10</w:t>
      </w:r>
      <w:r>
        <w:rPr>
          <w:rFonts w:hint="eastAsia" w:ascii="仿宋_GB2312" w:hAnsi="仿宋_GB2312" w:cs="仿宋_GB2312"/>
          <w:bCs/>
          <w:color w:val="000000"/>
          <w:sz w:val="28"/>
          <w:szCs w:val="28"/>
          <w:lang w:eastAsia="zh-CN"/>
        </w:rPr>
        <w:t>）任何一方未履行配合义务导致评估延误的，由该方自行承担责任，不影响另一方在本合同项下的权利。</w:t>
      </w:r>
    </w:p>
    <w:p>
      <w:pPr>
        <w:tabs>
          <w:tab w:val="left" w:pos="720"/>
        </w:tabs>
        <w:spacing w:afterLines="0" w:line="490" w:lineRule="exact"/>
        <w:ind w:firstLine="562" w:firstLineChars="200"/>
        <w:jc w:val="both"/>
        <w:rPr>
          <w:rFonts w:hint="eastAsia" w:ascii="楷体" w:hAnsi="楷体" w:eastAsia="楷体" w:cs="楷体"/>
          <w:b/>
          <w:bCs w:val="0"/>
          <w:color w:val="000000"/>
          <w:sz w:val="28"/>
          <w:szCs w:val="28"/>
        </w:rPr>
      </w:pPr>
      <w:r>
        <w:rPr>
          <w:rFonts w:hint="eastAsia" w:ascii="楷体" w:hAnsi="楷体" w:eastAsia="楷体" w:cs="楷体"/>
          <w:b/>
          <w:bCs w:val="0"/>
          <w:color w:val="000000"/>
          <w:sz w:val="28"/>
          <w:szCs w:val="28"/>
          <w:lang w:val="en-US" w:eastAsia="zh-CN"/>
        </w:rPr>
        <w:t>2.</w:t>
      </w:r>
      <w:r>
        <w:rPr>
          <w:rFonts w:hint="eastAsia" w:ascii="楷体" w:hAnsi="楷体" w:eastAsia="楷体" w:cs="楷体"/>
          <w:b/>
          <w:bCs w:val="0"/>
          <w:color w:val="000000"/>
          <w:sz w:val="28"/>
          <w:szCs w:val="28"/>
        </w:rPr>
        <w:t>乙方的</w:t>
      </w:r>
      <w:r>
        <w:rPr>
          <w:rFonts w:hint="eastAsia" w:ascii="楷体" w:hAnsi="楷体" w:eastAsia="楷体" w:cs="楷体"/>
          <w:b/>
          <w:bCs w:val="0"/>
          <w:color w:val="000000"/>
          <w:sz w:val="28"/>
          <w:szCs w:val="28"/>
          <w:lang w:val="en-US" w:eastAsia="zh-CN"/>
        </w:rPr>
        <w:t>权利及义务</w:t>
      </w:r>
    </w:p>
    <w:p>
      <w:pPr>
        <w:pStyle w:val="5"/>
        <w:spacing w:before="0" w:after="0" w:afterLines="0" w:line="490" w:lineRule="exact"/>
        <w:ind w:firstLine="562" w:firstLineChars="200"/>
        <w:jc w:val="both"/>
        <w:rPr>
          <w:rFonts w:hint="eastAsia" w:ascii="仿宋_GB2312" w:hAnsi="仿宋_GB2312" w:eastAsia="仿宋_GB2312" w:cs="仿宋_GB2312"/>
          <w:bCs/>
          <w:color w:val="000000"/>
          <w:kern w:val="2"/>
          <w:sz w:val="28"/>
          <w:szCs w:val="28"/>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1</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kern w:val="2"/>
          <w:sz w:val="28"/>
          <w:szCs w:val="28"/>
        </w:rPr>
        <w:t>在评估工作中，坚持独立、客观、公正、合法的原则，认真执行法律和行政法规，对出具《评估报告书》的真实性、合法性、有效性负责并承担相应的法律责任。</w:t>
      </w:r>
    </w:p>
    <w:p>
      <w:pPr>
        <w:spacing w:afterLines="0" w:line="490" w:lineRule="exact"/>
        <w:ind w:firstLine="562" w:firstLineChars="200"/>
        <w:jc w:val="both"/>
        <w:rPr>
          <w:rFonts w:hint="eastAsia" w:ascii="仿宋_GB2312" w:hAnsi="仿宋_GB2312" w:eastAsia="仿宋_GB2312" w:cs="仿宋_GB2312"/>
          <w:bCs/>
          <w:color w:val="000000"/>
          <w:kern w:val="2"/>
          <w:sz w:val="28"/>
          <w:szCs w:val="28"/>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2</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kern w:val="2"/>
          <w:sz w:val="28"/>
          <w:szCs w:val="28"/>
        </w:rPr>
        <w:t>遵守职业道德，对本次经济行为、</w:t>
      </w:r>
      <w:r>
        <w:rPr>
          <w:rFonts w:hint="eastAsia" w:ascii="仿宋_GB2312" w:hAnsi="仿宋_GB2312" w:eastAsia="仿宋_GB2312" w:cs="仿宋_GB2312"/>
          <w:color w:val="000000"/>
          <w:sz w:val="28"/>
          <w:szCs w:val="28"/>
        </w:rPr>
        <w:t>甲方</w:t>
      </w:r>
      <w:r>
        <w:rPr>
          <w:rFonts w:hint="eastAsia" w:ascii="仿宋_GB2312" w:hAnsi="仿宋_GB2312" w:eastAsia="仿宋_GB2312" w:cs="仿宋_GB2312"/>
          <w:bCs/>
          <w:color w:val="000000"/>
          <w:kern w:val="2"/>
          <w:sz w:val="28"/>
          <w:szCs w:val="28"/>
        </w:rPr>
        <w:t>提供的内部资料和评估结果，严守秘密。未经甲方书面同意，乙方不得向任何第三方披露上述信息。保密义务在本合同终止或解除后仍然有效，保密期限为合同终止或解除后五年。</w:t>
      </w:r>
    </w:p>
    <w:p>
      <w:pPr>
        <w:pStyle w:val="5"/>
        <w:spacing w:before="0" w:after="0" w:afterLines="0" w:line="490" w:lineRule="exact"/>
        <w:ind w:firstLine="562" w:firstLineChars="200"/>
        <w:jc w:val="both"/>
        <w:rPr>
          <w:rFonts w:hint="eastAsia" w:ascii="仿宋_GB2312" w:hAnsi="仿宋_GB2312" w:eastAsia="仿宋_GB2312" w:cs="仿宋_GB2312"/>
          <w:bCs/>
          <w:color w:val="000000"/>
          <w:kern w:val="2"/>
          <w:sz w:val="28"/>
          <w:szCs w:val="28"/>
        </w:rPr>
      </w:pPr>
      <w:r>
        <w:rPr>
          <w:rFonts w:hint="eastAsia" w:ascii="仿宋_GB2312" w:hAnsi="仿宋_GB2312" w:cs="仿宋_GB2312"/>
          <w:bCs/>
          <w:color w:val="000000"/>
          <w:sz w:val="28"/>
          <w:szCs w:val="28"/>
          <w:lang w:eastAsia="zh-CN"/>
        </w:rPr>
        <w:t>（</w:t>
      </w:r>
      <w:r>
        <w:rPr>
          <w:rFonts w:hint="eastAsia" w:ascii="仿宋_GB2312" w:hAnsi="仿宋_GB2312" w:eastAsia="仿宋_GB2312" w:cs="仿宋_GB2312"/>
          <w:bCs/>
          <w:color w:val="000000"/>
          <w:sz w:val="28"/>
          <w:szCs w:val="28"/>
        </w:rPr>
        <w:t>3</w:t>
      </w:r>
      <w:r>
        <w:rPr>
          <w:rFonts w:hint="eastAsia" w:ascii="仿宋_GB2312" w:hAnsi="仿宋_GB2312" w:cs="仿宋_GB2312"/>
          <w:bCs/>
          <w:color w:val="000000"/>
          <w:sz w:val="28"/>
          <w:szCs w:val="28"/>
          <w:lang w:eastAsia="zh-CN"/>
        </w:rPr>
        <w:t>）</w:t>
      </w:r>
      <w:r>
        <w:rPr>
          <w:rFonts w:hint="eastAsia" w:ascii="仿宋_GB2312" w:hAnsi="仿宋_GB2312" w:eastAsia="仿宋_GB2312" w:cs="仿宋_GB2312"/>
          <w:bCs/>
          <w:color w:val="000000"/>
          <w:kern w:val="2"/>
          <w:sz w:val="28"/>
          <w:szCs w:val="28"/>
        </w:rPr>
        <w:t>乙方有义务指派专人指导甲方及有关单位进行资产清查、编制评估申报表、搜集有关评估资料，并应做好与其他中介机构的协调工作。</w:t>
      </w:r>
    </w:p>
    <w:p>
      <w:pPr>
        <w:pStyle w:val="5"/>
        <w:spacing w:before="0" w:after="0" w:afterLines="0" w:line="490" w:lineRule="exact"/>
        <w:ind w:firstLine="562" w:firstLineChars="200"/>
        <w:jc w:val="both"/>
        <w:rPr>
          <w:rFonts w:hint="eastAsia" w:ascii="仿宋_GB2312" w:hAnsi="仿宋_GB2312" w:eastAsia="仿宋_GB2312" w:cs="仿宋_GB2312"/>
          <w:bCs/>
          <w:color w:val="000000"/>
          <w:kern w:val="2"/>
          <w:sz w:val="28"/>
          <w:szCs w:val="28"/>
        </w:rPr>
      </w:pPr>
      <w:r>
        <w:rPr>
          <w:rFonts w:hint="eastAsia" w:ascii="仿宋_GB2312" w:hAnsi="仿宋_GB2312" w:cs="仿宋_GB2312"/>
          <w:bCs/>
          <w:color w:val="000000"/>
          <w:kern w:val="2"/>
          <w:sz w:val="28"/>
          <w:szCs w:val="28"/>
          <w:lang w:eastAsia="zh-CN"/>
        </w:rPr>
        <w:t>（</w:t>
      </w:r>
      <w:r>
        <w:rPr>
          <w:rFonts w:hint="eastAsia" w:ascii="仿宋_GB2312" w:hAnsi="仿宋_GB2312" w:eastAsia="仿宋_GB2312" w:cs="仿宋_GB2312"/>
          <w:bCs/>
          <w:color w:val="000000"/>
          <w:kern w:val="2"/>
          <w:sz w:val="28"/>
          <w:szCs w:val="28"/>
        </w:rPr>
        <w:t>4</w:t>
      </w:r>
      <w:r>
        <w:rPr>
          <w:rFonts w:hint="eastAsia" w:ascii="仿宋_GB2312" w:hAnsi="仿宋_GB2312" w:cs="仿宋_GB2312"/>
          <w:bCs/>
          <w:color w:val="000000"/>
          <w:kern w:val="2"/>
          <w:sz w:val="28"/>
          <w:szCs w:val="28"/>
          <w:lang w:eastAsia="zh-CN"/>
        </w:rPr>
        <w:t>）</w:t>
      </w:r>
      <w:r>
        <w:rPr>
          <w:rFonts w:hint="eastAsia" w:ascii="仿宋_GB2312" w:hAnsi="仿宋_GB2312" w:eastAsia="仿宋_GB2312" w:cs="仿宋_GB2312"/>
          <w:bCs/>
          <w:color w:val="000000"/>
          <w:kern w:val="2"/>
          <w:sz w:val="28"/>
          <w:szCs w:val="28"/>
        </w:rPr>
        <w:t>乙方应先出具评估报告初稿，若需送区、市有关审核机构审核，乙方应积极配合审核机构相关人员的现场复核，做好评估相关技术的解释工作，并以审核机构审核认可后的评估结果出具正式评估报告。</w:t>
      </w:r>
    </w:p>
    <w:p>
      <w:pPr>
        <w:pStyle w:val="5"/>
        <w:spacing w:before="0" w:after="0" w:afterLines="0" w:line="490" w:lineRule="exact"/>
        <w:ind w:firstLine="562" w:firstLineChars="200"/>
        <w:jc w:val="both"/>
        <w:rPr>
          <w:rFonts w:hint="eastAsia" w:ascii="仿宋_GB2312" w:hAnsi="仿宋_GB2312" w:eastAsia="仿宋_GB2312" w:cs="仿宋_GB2312"/>
          <w:bCs/>
          <w:color w:val="000000"/>
          <w:kern w:val="2"/>
          <w:sz w:val="28"/>
          <w:szCs w:val="28"/>
        </w:rPr>
      </w:pPr>
      <w:r>
        <w:rPr>
          <w:rFonts w:hint="eastAsia" w:ascii="仿宋_GB2312" w:hAnsi="仿宋_GB2312" w:cs="仿宋_GB2312"/>
          <w:bCs/>
          <w:color w:val="000000"/>
          <w:kern w:val="2"/>
          <w:sz w:val="28"/>
          <w:szCs w:val="28"/>
          <w:lang w:eastAsia="zh-CN"/>
        </w:rPr>
        <w:t>（</w:t>
      </w:r>
      <w:r>
        <w:rPr>
          <w:rFonts w:hint="eastAsia" w:ascii="仿宋_GB2312" w:hAnsi="仿宋_GB2312" w:eastAsia="仿宋_GB2312" w:cs="仿宋_GB2312"/>
          <w:bCs/>
          <w:color w:val="000000"/>
          <w:kern w:val="2"/>
          <w:sz w:val="28"/>
          <w:szCs w:val="28"/>
        </w:rPr>
        <w:t>5</w:t>
      </w:r>
      <w:r>
        <w:rPr>
          <w:rFonts w:hint="eastAsia" w:ascii="仿宋_GB2312" w:hAnsi="仿宋_GB2312" w:cs="仿宋_GB2312"/>
          <w:bCs/>
          <w:color w:val="000000"/>
          <w:kern w:val="2"/>
          <w:sz w:val="28"/>
          <w:szCs w:val="28"/>
          <w:lang w:eastAsia="zh-CN"/>
        </w:rPr>
        <w:t>）</w:t>
      </w:r>
      <w:r>
        <w:rPr>
          <w:rFonts w:hint="eastAsia" w:ascii="仿宋_GB2312" w:hAnsi="仿宋_GB2312" w:eastAsia="仿宋_GB2312" w:cs="仿宋_GB2312"/>
          <w:bCs/>
          <w:color w:val="000000"/>
          <w:kern w:val="2"/>
          <w:sz w:val="28"/>
          <w:szCs w:val="28"/>
        </w:rPr>
        <w:t>乙方出具的评估报告应实事求是、客观公正、真实准确、有效完整；乙方出具评估报告，如甲方认为评估存在技术问题，乙方应配合审核机构相关人员进行复核，复核后如有调整，应重新出具评估报告（甲方不再重复支付评估费）。</w:t>
      </w:r>
    </w:p>
    <w:p>
      <w:pPr>
        <w:pStyle w:val="5"/>
        <w:spacing w:before="0" w:after="0" w:afterLines="0" w:line="490" w:lineRule="exact"/>
        <w:ind w:firstLine="562" w:firstLineChars="200"/>
        <w:jc w:val="both"/>
        <w:rPr>
          <w:rFonts w:hint="eastAsia" w:ascii="仿宋_GB2312" w:hAnsi="仿宋_GB2312" w:cs="仿宋_GB2312"/>
          <w:bCs/>
          <w:color w:val="000000"/>
          <w:kern w:val="2"/>
          <w:sz w:val="28"/>
          <w:szCs w:val="28"/>
          <w:lang w:eastAsia="zh-CN"/>
        </w:rPr>
      </w:pPr>
      <w:r>
        <w:rPr>
          <w:rFonts w:hint="eastAsia" w:ascii="仿宋_GB2312" w:hAnsi="仿宋_GB2312" w:cs="仿宋_GB2312"/>
          <w:bCs/>
          <w:color w:val="000000"/>
          <w:kern w:val="2"/>
          <w:sz w:val="28"/>
          <w:szCs w:val="28"/>
          <w:lang w:eastAsia="zh-CN"/>
        </w:rPr>
        <w:t>（</w:t>
      </w:r>
      <w:r>
        <w:rPr>
          <w:rFonts w:hint="eastAsia" w:ascii="仿宋_GB2312" w:hAnsi="仿宋_GB2312" w:cs="仿宋_GB2312"/>
          <w:bCs/>
          <w:color w:val="000000"/>
          <w:kern w:val="2"/>
          <w:sz w:val="28"/>
          <w:szCs w:val="28"/>
          <w:lang w:val="en-US" w:eastAsia="zh-CN"/>
        </w:rPr>
        <w:t>6</w:t>
      </w:r>
      <w:r>
        <w:rPr>
          <w:rFonts w:hint="eastAsia" w:ascii="仿宋_GB2312" w:hAnsi="仿宋_GB2312" w:cs="仿宋_GB2312"/>
          <w:bCs/>
          <w:color w:val="000000"/>
          <w:kern w:val="2"/>
          <w:sz w:val="28"/>
          <w:szCs w:val="28"/>
          <w:lang w:eastAsia="zh-CN"/>
        </w:rPr>
        <w:t>）乙方须按本合同第四条第7款要求分别出具评估报告，分别明确委托人、产权持有单位、评估对象和评估范围。</w:t>
      </w:r>
    </w:p>
    <w:p>
      <w:pPr>
        <w:pStyle w:val="5"/>
        <w:spacing w:before="0" w:after="0" w:afterLines="0" w:line="490" w:lineRule="exact"/>
        <w:ind w:firstLine="562" w:firstLineChars="200"/>
        <w:jc w:val="both"/>
        <w:rPr>
          <w:rFonts w:hint="eastAsia" w:ascii="仿宋_GB2312" w:hAnsi="仿宋_GB2312" w:cs="仿宋_GB2312"/>
          <w:bCs/>
          <w:color w:val="000000"/>
          <w:kern w:val="2"/>
          <w:sz w:val="28"/>
          <w:szCs w:val="28"/>
          <w:lang w:eastAsia="zh-CN"/>
        </w:rPr>
      </w:pPr>
      <w:r>
        <w:rPr>
          <w:rFonts w:hint="eastAsia" w:ascii="仿宋_GB2312" w:hAnsi="仿宋_GB2312" w:cs="仿宋_GB2312"/>
          <w:bCs/>
          <w:color w:val="000000"/>
          <w:kern w:val="2"/>
          <w:sz w:val="28"/>
          <w:szCs w:val="28"/>
          <w:lang w:eastAsia="zh-CN"/>
        </w:rPr>
        <w:t>（</w:t>
      </w:r>
      <w:r>
        <w:rPr>
          <w:rFonts w:hint="eastAsia" w:ascii="仿宋_GB2312" w:hAnsi="仿宋_GB2312" w:cs="仿宋_GB2312"/>
          <w:bCs/>
          <w:color w:val="000000"/>
          <w:kern w:val="2"/>
          <w:sz w:val="28"/>
          <w:szCs w:val="28"/>
          <w:lang w:val="en-US" w:eastAsia="zh-CN"/>
        </w:rPr>
        <w:t>7</w:t>
      </w:r>
      <w:r>
        <w:rPr>
          <w:rFonts w:hint="eastAsia" w:ascii="仿宋_GB2312" w:hAnsi="仿宋_GB2312" w:cs="仿宋_GB2312"/>
          <w:bCs/>
          <w:color w:val="000000"/>
          <w:kern w:val="2"/>
          <w:sz w:val="28"/>
          <w:szCs w:val="28"/>
          <w:lang w:eastAsia="zh-CN"/>
        </w:rPr>
        <w:t>） 乙方应积极配合甲方完成评估报告的国资备案工作，包括但不限于提供备案所需的评估报告、评估说明、评估明细表等材料，配合审核机构的现场复核，做好评估相关技术的解释工作。因乙方原因导致评估报告无法通过审核或备案的，乙方应无偿修改直至通过，并承担由此给甲方造成的损失。</w:t>
      </w:r>
    </w:p>
    <w:p>
      <w:pPr>
        <w:pStyle w:val="5"/>
        <w:spacing w:before="0" w:after="0" w:afterLines="0" w:line="490" w:lineRule="exact"/>
        <w:ind w:firstLine="562" w:firstLineChars="200"/>
        <w:jc w:val="both"/>
        <w:rPr>
          <w:rFonts w:hint="eastAsia" w:ascii="仿宋_GB2312" w:hAnsi="仿宋_GB2312" w:cs="仿宋_GB2312"/>
          <w:bCs/>
          <w:color w:val="000000"/>
          <w:kern w:val="2"/>
          <w:sz w:val="28"/>
          <w:szCs w:val="28"/>
          <w:lang w:eastAsia="zh-CN"/>
        </w:rPr>
      </w:pPr>
      <w:r>
        <w:rPr>
          <w:rFonts w:hint="eastAsia" w:ascii="仿宋_GB2312" w:hAnsi="仿宋_GB2312" w:cs="仿宋_GB2312"/>
          <w:bCs/>
          <w:color w:val="000000"/>
          <w:kern w:val="2"/>
          <w:sz w:val="28"/>
          <w:szCs w:val="28"/>
          <w:lang w:eastAsia="zh-CN"/>
        </w:rPr>
        <w:t>（</w:t>
      </w:r>
      <w:r>
        <w:rPr>
          <w:rFonts w:hint="eastAsia" w:ascii="仿宋_GB2312" w:hAnsi="仿宋_GB2312" w:cs="仿宋_GB2312"/>
          <w:bCs/>
          <w:color w:val="000000"/>
          <w:kern w:val="2"/>
          <w:sz w:val="28"/>
          <w:szCs w:val="28"/>
          <w:lang w:val="en-US" w:eastAsia="zh-CN"/>
        </w:rPr>
        <w:t>8</w:t>
      </w:r>
      <w:r>
        <w:rPr>
          <w:rFonts w:hint="eastAsia" w:ascii="仿宋_GB2312" w:hAnsi="仿宋_GB2312" w:cs="仿宋_GB2312"/>
          <w:bCs/>
          <w:color w:val="000000"/>
          <w:kern w:val="2"/>
          <w:sz w:val="28"/>
          <w:szCs w:val="28"/>
          <w:lang w:eastAsia="zh-CN"/>
        </w:rPr>
        <w:t>）乙方应指定至少一名对本项目评估报告签字的注册评估师作为项目负责人，全程负责本项目的评估工作。项目负责人不得随意更换，确需更换的应经甲方书面同意，且替换人员的资质和经验不得低于原项目负责人。</w:t>
      </w:r>
    </w:p>
    <w:p>
      <w:pPr>
        <w:pStyle w:val="5"/>
        <w:spacing w:before="0" w:after="0" w:afterLines="0" w:line="490" w:lineRule="exact"/>
        <w:ind w:firstLine="562" w:firstLineChars="200"/>
        <w:jc w:val="both"/>
        <w:rPr>
          <w:rFonts w:hint="eastAsia" w:ascii="仿宋_GB2312" w:hAnsi="仿宋_GB2312" w:cs="仿宋_GB2312"/>
          <w:bCs/>
          <w:color w:val="000000"/>
          <w:kern w:val="2"/>
          <w:sz w:val="28"/>
          <w:szCs w:val="28"/>
          <w:lang w:eastAsia="zh-CN"/>
        </w:rPr>
      </w:pPr>
      <w:r>
        <w:rPr>
          <w:rFonts w:hint="eastAsia" w:ascii="仿宋_GB2312" w:hAnsi="仿宋_GB2312" w:cs="仿宋_GB2312"/>
          <w:bCs/>
          <w:color w:val="000000"/>
          <w:kern w:val="2"/>
          <w:sz w:val="28"/>
          <w:szCs w:val="28"/>
          <w:lang w:eastAsia="zh-CN"/>
        </w:rPr>
        <w:t>（</w:t>
      </w:r>
      <w:r>
        <w:rPr>
          <w:rFonts w:hint="eastAsia" w:ascii="仿宋_GB2312" w:hAnsi="仿宋_GB2312" w:cs="仿宋_GB2312"/>
          <w:bCs/>
          <w:color w:val="000000"/>
          <w:kern w:val="2"/>
          <w:sz w:val="28"/>
          <w:szCs w:val="28"/>
          <w:lang w:val="en-US" w:eastAsia="zh-CN"/>
        </w:rPr>
        <w:t>9</w:t>
      </w:r>
      <w:r>
        <w:rPr>
          <w:rFonts w:hint="eastAsia" w:ascii="仿宋_GB2312" w:hAnsi="仿宋_GB2312" w:cs="仿宋_GB2312"/>
          <w:bCs/>
          <w:color w:val="000000"/>
          <w:kern w:val="2"/>
          <w:sz w:val="28"/>
          <w:szCs w:val="28"/>
          <w:lang w:eastAsia="zh-CN"/>
        </w:rPr>
        <w:t>）乙方不得将本合同项下的全部或部分评估工作转由第三方承担。</w:t>
      </w:r>
    </w:p>
    <w:p>
      <w:pPr>
        <w:tabs>
          <w:tab w:val="left" w:pos="720"/>
        </w:tabs>
        <w:spacing w:afterLines="0" w:line="490" w:lineRule="exact"/>
        <w:ind w:firstLine="562" w:firstLineChars="200"/>
        <w:jc w:val="both"/>
        <w:rPr>
          <w:rFonts w:hint="eastAsia" w:ascii="黑体" w:hAnsi="黑体" w:eastAsia="黑体" w:cs="黑体"/>
          <w:b w:val="0"/>
          <w:bCs/>
          <w:color w:val="000000"/>
          <w:sz w:val="28"/>
          <w:szCs w:val="28"/>
        </w:rPr>
      </w:pPr>
      <w:r>
        <w:rPr>
          <w:rFonts w:hint="eastAsia" w:ascii="黑体" w:hAnsi="黑体" w:eastAsia="黑体" w:cs="黑体"/>
          <w:b w:val="0"/>
          <w:bCs/>
          <w:color w:val="000000"/>
          <w:sz w:val="28"/>
          <w:szCs w:val="28"/>
        </w:rPr>
        <w:t>九、合同的变更、中止、解除</w:t>
      </w:r>
    </w:p>
    <w:p>
      <w:pPr>
        <w:pStyle w:val="4"/>
        <w:snapToGrid w:val="0"/>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cs="仿宋_GB2312"/>
          <w:bCs/>
          <w:color w:val="000000"/>
          <w:sz w:val="28"/>
          <w:szCs w:val="28"/>
          <w:lang w:val="en-US" w:eastAsia="zh-CN"/>
        </w:rPr>
        <w:t>1.</w:t>
      </w:r>
      <w:r>
        <w:rPr>
          <w:rFonts w:hint="eastAsia" w:ascii="仿宋_GB2312" w:hAnsi="仿宋_GB2312" w:eastAsia="仿宋_GB2312" w:cs="仿宋_GB2312"/>
          <w:bCs/>
          <w:color w:val="000000"/>
          <w:sz w:val="28"/>
          <w:szCs w:val="28"/>
        </w:rPr>
        <w:t>本合同签订后，</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 xml:space="preserve">、乙方发现相关事项约定不明确，或者履行评估程序受到限制需要增加、调整约定事项的，可以协商对评估委托合同相关条款进行变更，并签订补充协议或者重新签订评估委托合同。补充协议或者新的评估委托合同未达成前，本合同仍然有效。   </w:t>
      </w:r>
    </w:p>
    <w:p>
      <w:pPr>
        <w:pStyle w:val="4"/>
        <w:snapToGrid w:val="0"/>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cs="仿宋_GB2312"/>
          <w:bCs/>
          <w:color w:val="000000"/>
          <w:sz w:val="28"/>
          <w:szCs w:val="28"/>
          <w:lang w:val="en-US" w:eastAsia="zh-CN"/>
        </w:rPr>
        <w:t>2.</w:t>
      </w:r>
      <w:r>
        <w:rPr>
          <w:rFonts w:hint="eastAsia" w:ascii="仿宋_GB2312" w:hAnsi="仿宋_GB2312" w:eastAsia="仿宋_GB2312" w:cs="仿宋_GB2312"/>
          <w:bCs/>
          <w:color w:val="000000"/>
          <w:sz w:val="28"/>
          <w:szCs w:val="28"/>
        </w:rPr>
        <w:t>本合同签订后，评估目的、评估对象、评估基准日发生变化，或者评估范围发生重大变化，</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、乙方应签订补充协议或者重新签订评估委托合同。</w:t>
      </w:r>
    </w:p>
    <w:p>
      <w:pPr>
        <w:pStyle w:val="4"/>
        <w:snapToGrid w:val="0"/>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cs="仿宋_GB2312"/>
          <w:bCs/>
          <w:color w:val="000000"/>
          <w:sz w:val="28"/>
          <w:szCs w:val="28"/>
          <w:lang w:val="en-US" w:eastAsia="zh-CN"/>
        </w:rPr>
        <w:t>3.</w:t>
      </w:r>
      <w:r>
        <w:rPr>
          <w:rFonts w:hint="eastAsia" w:ascii="仿宋_GB2312" w:hAnsi="仿宋_GB2312" w:eastAsia="仿宋_GB2312" w:cs="仿宋_GB2312"/>
          <w:bCs/>
          <w:color w:val="000000"/>
          <w:sz w:val="28"/>
          <w:szCs w:val="28"/>
        </w:rPr>
        <w:t>当估价程序所受限制对与估价目的相对应的评估结论构成重大影响时，乙方应提交估价程序受限制的相关证据材料及情况说明给</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，甲方有权根据实际情况决定是否中止或解除本合同。甲方决定中止或解除的，应书面通知乙方。乙方存在本合同第十一条约定的违约行为的，甲方有权立即解除合同，无需征得乙方同意。</w:t>
      </w:r>
    </w:p>
    <w:p>
      <w:pPr>
        <w:pStyle w:val="2"/>
        <w:widowControl w:val="0"/>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val="en-US" w:eastAsia="zh-CN"/>
        </w:rPr>
        <w:t>4.</w:t>
      </w:r>
      <w:r>
        <w:rPr>
          <w:rFonts w:hint="eastAsia" w:ascii="仿宋_GB2312" w:hAnsi="仿宋_GB2312" w:eastAsia="仿宋_GB2312" w:cs="仿宋_GB2312"/>
          <w:bCs/>
          <w:color w:val="000000"/>
          <w:sz w:val="28"/>
          <w:szCs w:val="28"/>
        </w:rPr>
        <w:t>本合同解除后，乙方应根据已完成的工作量提出费用结算方案，经甲方书面确认后执行。已完成工作量无法明确的，按以下标准结算：已提交正式评估报告的，按该报告对应评估服务费的100%计取；已提交评估报告初稿但未提交正式报告的，按该报告对应评估服务费的50%计取；已开展现场勘查但未提交初稿的，按该报告对应评估服务费的20%计取。</w:t>
      </w:r>
    </w:p>
    <w:p>
      <w:pPr>
        <w:tabs>
          <w:tab w:val="left" w:pos="720"/>
        </w:tabs>
        <w:spacing w:before="0" w:afterLines="0" w:line="490" w:lineRule="exact"/>
        <w:ind w:firstLine="562" w:firstLineChars="200"/>
        <w:jc w:val="both"/>
        <w:rPr>
          <w:rFonts w:hint="eastAsia" w:ascii="仿宋_GB2312" w:hAnsi="仿宋_GB2312" w:eastAsia="仿宋_GB2312" w:cs="仿宋_GB2312"/>
          <w:b/>
          <w:color w:val="000000"/>
          <w:sz w:val="28"/>
          <w:szCs w:val="28"/>
        </w:rPr>
      </w:pPr>
      <w:r>
        <w:rPr>
          <w:rFonts w:hint="eastAsia" w:ascii="黑体" w:hAnsi="黑体" w:eastAsia="黑体" w:cs="黑体"/>
          <w:b w:val="0"/>
          <w:bCs/>
          <w:color w:val="000000"/>
          <w:sz w:val="28"/>
          <w:szCs w:val="28"/>
        </w:rPr>
        <w:t>十、合同争议解决</w:t>
      </w:r>
    </w:p>
    <w:p>
      <w:pPr>
        <w:pStyle w:val="4"/>
        <w:snapToGrid w:val="0"/>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凡因本</w:t>
      </w:r>
      <w:r>
        <w:rPr>
          <w:rFonts w:hint="eastAsia" w:ascii="仿宋_GB2312" w:hAnsi="仿宋_GB2312" w:cs="仿宋_GB2312"/>
          <w:bCs/>
          <w:color w:val="000000"/>
          <w:sz w:val="28"/>
          <w:szCs w:val="28"/>
          <w:lang w:val="en-US" w:eastAsia="zh-CN"/>
        </w:rPr>
        <w:t>合同</w:t>
      </w:r>
      <w:r>
        <w:rPr>
          <w:rFonts w:hint="eastAsia" w:ascii="仿宋_GB2312" w:hAnsi="仿宋_GB2312" w:eastAsia="仿宋_GB2312" w:cs="仿宋_GB2312"/>
          <w:bCs/>
          <w:color w:val="000000"/>
          <w:sz w:val="28"/>
          <w:szCs w:val="28"/>
        </w:rPr>
        <w:t>有关的一切争议，</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、乙方应友好协商解决，协商不成的，</w:t>
      </w:r>
      <w:r>
        <w:rPr>
          <w:rFonts w:hint="eastAsia" w:ascii="仿宋_GB2312" w:hAnsi="仿宋_GB2312" w:cs="仿宋_GB2312"/>
          <w:bCs/>
          <w:color w:val="000000"/>
          <w:sz w:val="28"/>
          <w:szCs w:val="28"/>
          <w:lang w:val="en-US" w:eastAsia="zh-CN"/>
        </w:rPr>
        <w:t>三</w:t>
      </w:r>
      <w:r>
        <w:rPr>
          <w:rFonts w:hint="eastAsia" w:ascii="仿宋_GB2312" w:hAnsi="仿宋_GB2312" w:cs="仿宋_GB2312"/>
          <w:bCs/>
          <w:color w:val="000000"/>
          <w:sz w:val="28"/>
          <w:szCs w:val="28"/>
        </w:rPr>
        <w:t>方约定由龙岩市新罗区人民法院管辖。</w:t>
      </w:r>
    </w:p>
    <w:p>
      <w:pPr>
        <w:tabs>
          <w:tab w:val="left" w:pos="720"/>
        </w:tabs>
        <w:spacing w:before="0" w:afterLines="0" w:line="490" w:lineRule="exact"/>
        <w:ind w:firstLine="562" w:firstLineChars="200"/>
        <w:jc w:val="both"/>
        <w:rPr>
          <w:rFonts w:hint="eastAsia" w:ascii="黑体" w:hAnsi="黑体" w:eastAsia="黑体" w:cs="黑体"/>
          <w:b w:val="0"/>
          <w:bCs/>
          <w:color w:val="000000"/>
          <w:sz w:val="28"/>
          <w:szCs w:val="28"/>
        </w:rPr>
      </w:pPr>
      <w:r>
        <w:rPr>
          <w:rFonts w:hint="eastAsia" w:ascii="黑体" w:hAnsi="黑体" w:eastAsia="黑体" w:cs="黑体"/>
          <w:b w:val="0"/>
          <w:bCs/>
          <w:color w:val="000000"/>
          <w:sz w:val="28"/>
          <w:szCs w:val="28"/>
        </w:rPr>
        <w:t>十一、违约责任</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val="en-US" w:eastAsia="zh-CN"/>
        </w:rPr>
        <w:t>1.</w:t>
      </w:r>
      <w:r>
        <w:rPr>
          <w:rFonts w:hint="eastAsia" w:ascii="仿宋_GB2312" w:hAnsi="仿宋_GB2312" w:eastAsia="仿宋_GB2312" w:cs="仿宋_GB2312"/>
          <w:bCs/>
          <w:color w:val="000000"/>
          <w:sz w:val="28"/>
          <w:szCs w:val="28"/>
        </w:rPr>
        <w:t>签约各方因由于不可抗力（包括但不限于战争、地震、和台风等自然灾害以及中国法律和政策的变化），影响评估工作如期完成，或需提前出具评估报告，</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、乙方应及时通知对方，并可要求变更约定事项，但须由三方协商一致，并以书面形式确认。如以上因素致使本</w:t>
      </w:r>
      <w:r>
        <w:rPr>
          <w:rFonts w:hint="eastAsia" w:ascii="仿宋_GB2312" w:hAnsi="仿宋_GB2312" w:eastAsia="仿宋_GB2312" w:cs="仿宋_GB2312"/>
          <w:bCs/>
          <w:color w:val="000000"/>
          <w:sz w:val="28"/>
          <w:szCs w:val="28"/>
          <w:lang w:val="en-US" w:eastAsia="zh-CN"/>
        </w:rPr>
        <w:t>合同</w:t>
      </w:r>
      <w:r>
        <w:rPr>
          <w:rFonts w:hint="eastAsia" w:ascii="仿宋_GB2312" w:hAnsi="仿宋_GB2312" w:eastAsia="仿宋_GB2312" w:cs="仿宋_GB2312"/>
          <w:bCs/>
          <w:color w:val="000000"/>
          <w:sz w:val="28"/>
          <w:szCs w:val="28"/>
        </w:rPr>
        <w:t>无法继续履行，则</w:t>
      </w:r>
      <w:r>
        <w:rPr>
          <w:rFonts w:hint="eastAsia" w:ascii="仿宋_GB2312" w:hAnsi="仿宋_GB2312" w:eastAsia="仿宋_GB2312" w:cs="仿宋_GB2312"/>
          <w:bCs/>
          <w:color w:val="000000"/>
          <w:sz w:val="28"/>
          <w:szCs w:val="28"/>
          <w:lang w:val="en-US" w:eastAsia="zh-CN"/>
        </w:rPr>
        <w:t>可</w:t>
      </w:r>
      <w:r>
        <w:rPr>
          <w:rFonts w:hint="eastAsia" w:ascii="仿宋_GB2312" w:hAnsi="仿宋_GB2312" w:eastAsia="仿宋_GB2312" w:cs="仿宋_GB2312"/>
          <w:bCs/>
          <w:color w:val="000000"/>
          <w:sz w:val="28"/>
          <w:szCs w:val="28"/>
        </w:rPr>
        <w:t>在</w:t>
      </w:r>
      <w:r>
        <w:rPr>
          <w:rFonts w:hint="eastAsia" w:ascii="仿宋_GB2312" w:hAnsi="仿宋_GB2312" w:eastAsia="仿宋_GB2312" w:cs="仿宋_GB2312"/>
          <w:bCs/>
          <w:color w:val="000000"/>
          <w:sz w:val="28"/>
          <w:szCs w:val="28"/>
          <w:lang w:val="en-US" w:eastAsia="zh-CN"/>
        </w:rPr>
        <w:t>三方</w:t>
      </w:r>
      <w:r>
        <w:rPr>
          <w:rFonts w:hint="eastAsia" w:ascii="仿宋_GB2312" w:hAnsi="仿宋_GB2312" w:eastAsia="仿宋_GB2312" w:cs="仿宋_GB2312"/>
          <w:bCs/>
          <w:color w:val="000000"/>
          <w:sz w:val="28"/>
          <w:szCs w:val="28"/>
        </w:rPr>
        <w:t>协商一致的基础上可暂缓或终止履行本</w:t>
      </w:r>
      <w:r>
        <w:rPr>
          <w:rFonts w:hint="eastAsia" w:ascii="仿宋_GB2312" w:hAnsi="仿宋_GB2312" w:eastAsia="仿宋_GB2312" w:cs="仿宋_GB2312"/>
          <w:bCs/>
          <w:color w:val="000000"/>
          <w:sz w:val="28"/>
          <w:szCs w:val="28"/>
          <w:lang w:val="en-US" w:eastAsia="zh-CN"/>
        </w:rPr>
        <w:t>合同</w:t>
      </w:r>
      <w:r>
        <w:rPr>
          <w:rFonts w:hint="eastAsia" w:ascii="仿宋_GB2312" w:hAnsi="仿宋_GB2312" w:eastAsia="仿宋_GB2312" w:cs="仿宋_GB2312"/>
          <w:bCs/>
          <w:color w:val="000000"/>
          <w:sz w:val="28"/>
          <w:szCs w:val="28"/>
        </w:rPr>
        <w:t>。无法履行</w:t>
      </w:r>
      <w:r>
        <w:rPr>
          <w:rFonts w:hint="eastAsia" w:ascii="仿宋_GB2312" w:hAnsi="仿宋_GB2312" w:eastAsia="仿宋_GB2312" w:cs="仿宋_GB2312"/>
          <w:bCs/>
          <w:color w:val="000000"/>
          <w:sz w:val="28"/>
          <w:szCs w:val="28"/>
          <w:lang w:val="en-US" w:eastAsia="zh-CN"/>
        </w:rPr>
        <w:t>本</w:t>
      </w:r>
      <w:r>
        <w:rPr>
          <w:rFonts w:hint="eastAsia" w:ascii="仿宋_GB2312" w:hAnsi="仿宋_GB2312" w:eastAsia="仿宋_GB2312" w:cs="仿宋_GB2312"/>
          <w:bCs/>
          <w:color w:val="000000"/>
          <w:sz w:val="28"/>
          <w:szCs w:val="28"/>
        </w:rPr>
        <w:t>合同的，根据不可抗力的影响，部分或者全部免除责任，法律另有规定的除外。</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kern w:val="2"/>
          <w:sz w:val="28"/>
          <w:szCs w:val="28"/>
          <w:lang w:val="en-US" w:eastAsia="zh-CN"/>
        </w:rPr>
        <w:t>2.</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、乙方按照《中华人民共和国民法典》的规定承担相应的违约责任</w:t>
      </w:r>
      <w:r>
        <w:rPr>
          <w:rFonts w:hint="eastAsia" w:ascii="仿宋_GB2312" w:hAnsi="仿宋_GB2312" w:eastAsia="仿宋_GB2312" w:cs="仿宋_GB2312"/>
          <w:bCs/>
          <w:color w:val="000000"/>
          <w:sz w:val="28"/>
          <w:szCs w:val="28"/>
          <w:lang w:eastAsia="zh-CN"/>
        </w:rPr>
        <w:t>：</w:t>
      </w:r>
    </w:p>
    <w:p>
      <w:pPr>
        <w:pStyle w:val="2"/>
        <w:widowControl w:val="0"/>
        <w:spacing w:afterLines="0" w:line="490" w:lineRule="exact"/>
        <w:ind w:firstLine="562" w:firstLineChars="200"/>
        <w:jc w:val="both"/>
        <w:rPr>
          <w:rFonts w:hint="eastAsia" w:ascii="仿宋_GB2312" w:hAnsi="仿宋_GB2312" w:eastAsia="仿宋_GB2312" w:cs="仿宋_GB2312"/>
          <w:bCs/>
          <w:color w:val="000000"/>
          <w:kern w:val="2"/>
          <w:sz w:val="28"/>
          <w:szCs w:val="28"/>
        </w:rPr>
      </w:pPr>
      <w:r>
        <w:rPr>
          <w:rFonts w:hint="eastAsia" w:ascii="仿宋_GB2312" w:hAnsi="仿宋_GB2312" w:eastAsia="仿宋_GB2312" w:cs="仿宋_GB2312"/>
          <w:bCs/>
          <w:color w:val="000000"/>
          <w:kern w:val="2"/>
          <w:sz w:val="28"/>
          <w:szCs w:val="28"/>
          <w:lang w:eastAsia="zh-CN"/>
        </w:rPr>
        <w:t>（</w:t>
      </w:r>
      <w:r>
        <w:rPr>
          <w:rFonts w:hint="eastAsia" w:ascii="仿宋_GB2312" w:hAnsi="仿宋_GB2312" w:eastAsia="仿宋_GB2312" w:cs="仿宋_GB2312"/>
          <w:bCs/>
          <w:color w:val="000000"/>
          <w:kern w:val="2"/>
          <w:sz w:val="28"/>
          <w:szCs w:val="28"/>
          <w:lang w:val="en-US" w:eastAsia="zh-CN"/>
        </w:rPr>
        <w:t>1）年度租金</w:t>
      </w:r>
      <w:r>
        <w:rPr>
          <w:rFonts w:hint="eastAsia" w:ascii="仿宋_GB2312" w:hAnsi="仿宋_GB2312" w:eastAsia="仿宋_GB2312" w:cs="仿宋_GB2312"/>
          <w:bCs/>
          <w:color w:val="000000"/>
          <w:kern w:val="2"/>
          <w:sz w:val="28"/>
          <w:szCs w:val="28"/>
        </w:rPr>
        <w:t>评估工作根据资产评估清单至少分两批次进行，乙方在收到评估相关材料齐全后原则上七个工作日内按时完成评估工作并提交评估报告，无正当理由不得拖延，否则以违约处理。复杂项目或特殊情况经甲方书面同意可另行商定完成时间，否则以违约处理。逾期提交评估报告的，每逾期一日，乙方应按</w:t>
      </w:r>
      <w:r>
        <w:rPr>
          <w:rFonts w:hint="eastAsia" w:ascii="仿宋_GB2312" w:hAnsi="仿宋_GB2312" w:eastAsia="仿宋_GB2312" w:cs="仿宋_GB2312"/>
          <w:bCs/>
          <w:color w:val="000000"/>
          <w:kern w:val="2"/>
          <w:sz w:val="28"/>
          <w:szCs w:val="28"/>
          <w:lang w:val="en-US" w:eastAsia="zh-CN"/>
        </w:rPr>
        <w:t>年度</w:t>
      </w:r>
      <w:r>
        <w:rPr>
          <w:rFonts w:hint="eastAsia" w:ascii="仿宋_GB2312" w:hAnsi="仿宋_GB2312" w:eastAsia="仿宋_GB2312" w:cs="仿宋_GB2312"/>
          <w:bCs/>
          <w:color w:val="000000"/>
          <w:kern w:val="2"/>
          <w:sz w:val="28"/>
          <w:szCs w:val="28"/>
        </w:rPr>
        <w:t>评估费的10%向甲方支付违约金。逾期超过十五日的，甲方有权解除合同，乙方应退还已收取的全部评估费用，并承担评估总额20%的违约金。</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rPr>
        <w:t>乙方提交的评估报告被专家鉴定小组鉴定后未被采用，视为乙方根本违约。甲方有权解除合同，要求乙方退还</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已支付的全部评估费用，同时乙方应当承担评估总额20%的违约金</w:t>
      </w:r>
      <w:r>
        <w:rPr>
          <w:rFonts w:hint="eastAsia" w:ascii="仿宋_GB2312" w:hAnsi="仿宋_GB2312" w:eastAsia="仿宋_GB2312" w:cs="仿宋_GB2312"/>
          <w:bCs/>
          <w:color w:val="000000"/>
          <w:sz w:val="28"/>
          <w:szCs w:val="28"/>
          <w:lang w:eastAsia="zh-CN"/>
        </w:rPr>
        <w:t>。</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3）</w:t>
      </w:r>
      <w:r>
        <w:rPr>
          <w:rFonts w:hint="eastAsia" w:ascii="仿宋_GB2312" w:hAnsi="仿宋_GB2312" w:eastAsia="仿宋_GB2312" w:cs="仿宋_GB2312"/>
          <w:bCs/>
          <w:color w:val="000000"/>
          <w:sz w:val="28"/>
          <w:szCs w:val="28"/>
        </w:rPr>
        <w:t>因乙方评估不真实、不公平、不合理或存在其他瑕疵，</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据以决策造成损失的，</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有权要求乙方退还</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已支付的全部评估费用，同时乙方还应当承担评估费总额20%的违约金</w:t>
      </w:r>
      <w:r>
        <w:rPr>
          <w:rFonts w:hint="eastAsia" w:ascii="仿宋_GB2312" w:hAnsi="仿宋_GB2312" w:eastAsia="仿宋_GB2312" w:cs="仿宋_GB2312"/>
          <w:bCs/>
          <w:color w:val="000000"/>
          <w:sz w:val="28"/>
          <w:szCs w:val="28"/>
          <w:lang w:eastAsia="zh-CN"/>
        </w:rPr>
        <w:t>。</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4）</w:t>
      </w:r>
      <w:r>
        <w:rPr>
          <w:rFonts w:hint="eastAsia" w:ascii="仿宋_GB2312" w:hAnsi="仿宋_GB2312" w:eastAsia="仿宋_GB2312" w:cs="仿宋_GB2312"/>
          <w:bCs/>
          <w:color w:val="000000"/>
          <w:sz w:val="28"/>
          <w:szCs w:val="28"/>
        </w:rPr>
        <w:t>乙方不得将本合同项下的全部或部分评估工作转由第三方承担，否则，</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有权解除合同</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并</w:t>
      </w:r>
      <w:r>
        <w:rPr>
          <w:rFonts w:hint="eastAsia" w:ascii="仿宋_GB2312" w:hAnsi="仿宋_GB2312" w:eastAsia="仿宋_GB2312" w:cs="仿宋_GB2312"/>
          <w:bCs/>
          <w:color w:val="000000"/>
          <w:sz w:val="28"/>
          <w:szCs w:val="28"/>
        </w:rPr>
        <w:t>要求乙方退还</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已支付的全部评估费用，乙方应当承担评估总额20%的违约金</w:t>
      </w:r>
      <w:r>
        <w:rPr>
          <w:rFonts w:hint="eastAsia" w:ascii="仿宋_GB2312" w:hAnsi="仿宋_GB2312" w:eastAsia="仿宋_GB2312" w:cs="仿宋_GB2312"/>
          <w:bCs/>
          <w:color w:val="000000"/>
          <w:sz w:val="28"/>
          <w:szCs w:val="28"/>
          <w:lang w:eastAsia="zh-CN"/>
        </w:rPr>
        <w:t>，甲方有权同时要求乙方赔偿由此给甲方造成的全部损失。</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5）</w:t>
      </w:r>
      <w:r>
        <w:rPr>
          <w:rFonts w:hint="eastAsia" w:ascii="仿宋_GB2312" w:hAnsi="仿宋_GB2312" w:eastAsia="仿宋_GB2312" w:cs="仿宋_GB2312"/>
          <w:bCs/>
          <w:color w:val="000000"/>
          <w:sz w:val="28"/>
          <w:szCs w:val="28"/>
        </w:rPr>
        <w:t>若乙方违约给</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造成经济损失，约定的违约金低于</w:t>
      </w:r>
      <w:r>
        <w:rPr>
          <w:rFonts w:hint="eastAsia" w:ascii="仿宋_GB2312" w:hAnsi="仿宋_GB2312" w:eastAsia="仿宋_GB2312" w:cs="仿宋_GB2312"/>
          <w:bCs/>
          <w:color w:val="000000"/>
          <w:kern w:val="2"/>
          <w:sz w:val="28"/>
          <w:szCs w:val="28"/>
        </w:rPr>
        <w:t>甲方</w:t>
      </w:r>
      <w:r>
        <w:rPr>
          <w:rFonts w:hint="eastAsia" w:ascii="仿宋_GB2312" w:hAnsi="仿宋_GB2312" w:eastAsia="仿宋_GB2312" w:cs="仿宋_GB2312"/>
          <w:bCs/>
          <w:color w:val="000000"/>
          <w:sz w:val="28"/>
          <w:szCs w:val="28"/>
        </w:rPr>
        <w:t>损失的，不足部分由乙方据实赔偿，并应承担甲方因此支付的相应费用，包括但不限于诉讼费、律师</w:t>
      </w:r>
      <w:r>
        <w:rPr>
          <w:rFonts w:hint="eastAsia" w:ascii="仿宋_GB2312" w:hAnsi="仿宋_GB2312" w:eastAsia="仿宋_GB2312" w:cs="仿宋_GB2312"/>
          <w:bCs/>
          <w:color w:val="000000"/>
          <w:sz w:val="28"/>
          <w:szCs w:val="28"/>
          <w:lang w:val="en-US" w:eastAsia="zh-CN"/>
        </w:rPr>
        <w:t>服务</w:t>
      </w:r>
      <w:r>
        <w:rPr>
          <w:rFonts w:hint="eastAsia" w:ascii="仿宋_GB2312" w:hAnsi="仿宋_GB2312" w:eastAsia="仿宋_GB2312" w:cs="仿宋_GB2312"/>
          <w:bCs/>
          <w:color w:val="000000"/>
          <w:sz w:val="28"/>
          <w:szCs w:val="28"/>
        </w:rPr>
        <w:t>费、保全费、保全保险费、通知公告费、公证费、鉴定费、强制执行费</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差旅费</w:t>
      </w:r>
      <w:r>
        <w:rPr>
          <w:rFonts w:hint="eastAsia" w:ascii="仿宋_GB2312" w:hAnsi="仿宋_GB2312" w:eastAsia="仿宋_GB2312" w:cs="仿宋_GB2312"/>
          <w:bCs/>
          <w:color w:val="000000"/>
          <w:sz w:val="28"/>
          <w:szCs w:val="28"/>
        </w:rPr>
        <w:t>等。</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6</w:t>
      </w:r>
      <w:r>
        <w:rPr>
          <w:rFonts w:hint="eastAsia" w:ascii="仿宋_GB2312" w:hAnsi="仿宋_GB2312" w:eastAsia="仿宋_GB2312" w:cs="仿宋_GB2312"/>
          <w:bCs/>
          <w:color w:val="000000"/>
          <w:sz w:val="28"/>
          <w:szCs w:val="28"/>
          <w:lang w:eastAsia="zh-CN"/>
        </w:rPr>
        <w:t>）乙方未按本合同第四条第7款要求分别出具评估报告的，甲方有权要求乙方限期改正；逾期未改正的，甲方有权拒绝支付对应款项，并有权解除合同，要求乙方退还已支付的全部评估费用，同时乙方应承担评估总额20%的违约金。</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7</w:t>
      </w:r>
      <w:r>
        <w:rPr>
          <w:rFonts w:hint="eastAsia" w:ascii="仿宋_GB2312" w:hAnsi="仿宋_GB2312" w:eastAsia="仿宋_GB2312" w:cs="仿宋_GB2312"/>
          <w:bCs/>
          <w:color w:val="000000"/>
          <w:sz w:val="28"/>
          <w:szCs w:val="28"/>
          <w:lang w:eastAsia="zh-CN"/>
        </w:rPr>
        <w:t>）乙方违反本合同第八条保密义务的，应向甲方支付违约金人民币</w:t>
      </w:r>
      <w:r>
        <w:rPr>
          <w:rFonts w:hint="eastAsia"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lang w:eastAsia="zh-CN"/>
        </w:rPr>
        <w:t>0,000元；违约金不足以弥补甲方损失的，乙方还应赔偿不足部分。甲方有权同时要求乙方采取补救措施。</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8</w:t>
      </w:r>
      <w:r>
        <w:rPr>
          <w:rFonts w:hint="eastAsia" w:ascii="仿宋_GB2312" w:hAnsi="仿宋_GB2312" w:eastAsia="仿宋_GB2312" w:cs="仿宋_GB2312"/>
          <w:bCs/>
          <w:color w:val="000000"/>
          <w:sz w:val="28"/>
          <w:szCs w:val="28"/>
          <w:lang w:eastAsia="zh-CN"/>
        </w:rPr>
        <w:t>）乙方在收到评估业务通知后两个工作日内，未向甲方提交本次评估报告签字注册评估师的身份证复印件，或未安排至少一名对本项目评估报告签字的注册评估师与甲方经办人员对接并到现场察看评估标的物的，甲方有权拒绝支付该次评估服务费，并要求乙方按该次评估服务费的30%支付违约金。</w:t>
      </w:r>
    </w:p>
    <w:p>
      <w:pPr>
        <w:pStyle w:val="2"/>
        <w:spacing w:afterLines="0" w:line="490" w:lineRule="exact"/>
        <w:ind w:firstLine="562" w:firstLineChars="200"/>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9</w:t>
      </w:r>
      <w:r>
        <w:rPr>
          <w:rFonts w:hint="eastAsia" w:ascii="仿宋_GB2312" w:hAnsi="仿宋_GB2312" w:eastAsia="仿宋_GB2312" w:cs="仿宋_GB2312"/>
          <w:bCs/>
          <w:color w:val="000000"/>
          <w:sz w:val="28"/>
          <w:szCs w:val="28"/>
          <w:lang w:eastAsia="zh-CN"/>
        </w:rPr>
        <w:t>）乙方未按本合同第八条第2款第（7）项约定配合甲方完成评估报告国资备案或审核工作的，甲方有权暂缓支付评估服务费，并要求乙方按评估总额10%支付违约金。因乙方原因导致评估报告无法通过备案或审核的，乙方应无偿修改直至通过，并赔偿甲方因此遭受的损失。</w:t>
      </w:r>
    </w:p>
    <w:p>
      <w:pPr>
        <w:pStyle w:val="2"/>
        <w:spacing w:afterLines="0" w:line="490" w:lineRule="exact"/>
        <w:ind w:firstLine="562" w:firstLineChars="200"/>
        <w:rPr>
          <w:rFonts w:hint="default" w:ascii="仿宋_GB2312" w:hAnsi="仿宋_GB2312" w:eastAsia="仿宋_GB2312" w:cs="仿宋_GB2312"/>
          <w:bCs/>
          <w:color w:val="000000"/>
          <w:sz w:val="28"/>
          <w:szCs w:val="28"/>
          <w:lang w:val="en-US" w:eastAsia="zh-CN"/>
        </w:rPr>
      </w:pPr>
      <w:r>
        <w:rPr>
          <w:rFonts w:hint="eastAsia" w:ascii="仿宋_GB2312" w:hAnsi="仿宋_GB2312" w:eastAsia="仿宋_GB2312" w:cs="仿宋_GB2312"/>
          <w:bCs/>
          <w:color w:val="000000"/>
          <w:sz w:val="28"/>
          <w:szCs w:val="28"/>
          <w:lang w:val="en-US" w:eastAsia="zh-CN"/>
        </w:rPr>
        <w:t>（10）乙方未经甲方书面同意擅自更换项目负责人的，甲方有权要求乙方限期纠正；逾期未纠正的，甲方有权解除合同，乙方应退还已支付的全部评估费用，并承担评估总额10%的违约金。</w:t>
      </w:r>
    </w:p>
    <w:p>
      <w:pPr>
        <w:tabs>
          <w:tab w:val="left" w:pos="720"/>
        </w:tabs>
        <w:spacing w:afterLines="0" w:line="490" w:lineRule="exact"/>
        <w:ind w:firstLine="562" w:firstLineChars="200"/>
        <w:jc w:val="both"/>
        <w:rPr>
          <w:rFonts w:hint="eastAsia" w:ascii="黑体" w:hAnsi="黑体" w:eastAsia="黑体" w:cs="黑体"/>
          <w:b w:val="0"/>
          <w:bCs/>
          <w:color w:val="000000"/>
          <w:sz w:val="28"/>
          <w:szCs w:val="28"/>
          <w:lang w:val="en-US" w:eastAsia="zh-CN"/>
        </w:rPr>
      </w:pPr>
      <w:r>
        <w:rPr>
          <w:rFonts w:hint="eastAsia" w:ascii="黑体" w:hAnsi="黑体" w:eastAsia="黑体" w:cs="黑体"/>
          <w:b w:val="0"/>
          <w:bCs/>
          <w:color w:val="000000"/>
          <w:sz w:val="28"/>
          <w:szCs w:val="28"/>
        </w:rPr>
        <w:t>十</w:t>
      </w:r>
      <w:r>
        <w:rPr>
          <w:rFonts w:hint="eastAsia" w:ascii="黑体" w:hAnsi="黑体" w:eastAsia="黑体" w:cs="黑体"/>
          <w:b w:val="0"/>
          <w:bCs/>
          <w:color w:val="000000"/>
          <w:sz w:val="28"/>
          <w:szCs w:val="28"/>
          <w:lang w:val="en-US" w:eastAsia="zh-CN"/>
        </w:rPr>
        <w:t>二</w:t>
      </w:r>
      <w:r>
        <w:rPr>
          <w:rFonts w:hint="eastAsia" w:ascii="黑体" w:hAnsi="黑体" w:eastAsia="黑体" w:cs="黑体"/>
          <w:b w:val="0"/>
          <w:bCs/>
          <w:color w:val="000000"/>
          <w:sz w:val="28"/>
          <w:szCs w:val="28"/>
        </w:rPr>
        <w:t>、</w:t>
      </w:r>
      <w:r>
        <w:rPr>
          <w:rFonts w:hint="eastAsia" w:ascii="黑体" w:hAnsi="黑体" w:eastAsia="黑体" w:cs="黑体"/>
          <w:b w:val="0"/>
          <w:bCs/>
          <w:color w:val="000000"/>
          <w:sz w:val="28"/>
          <w:szCs w:val="28"/>
          <w:lang w:val="en-US" w:eastAsia="zh-CN"/>
        </w:rPr>
        <w:t>其他</w:t>
      </w:r>
    </w:p>
    <w:p>
      <w:pPr>
        <w:tabs>
          <w:tab w:val="left" w:pos="720"/>
        </w:tabs>
        <w:spacing w:afterLines="0" w:line="490" w:lineRule="exact"/>
        <w:ind w:firstLine="562" w:firstLineChars="200"/>
        <w:jc w:val="both"/>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lang w:val="en-US" w:eastAsia="zh-CN"/>
        </w:rPr>
        <w:t>1.本合同未</w:t>
      </w:r>
      <w:r>
        <w:rPr>
          <w:rFonts w:hint="eastAsia" w:ascii="仿宋_GB2312" w:hAnsi="仿宋_GB2312" w:eastAsia="仿宋_GB2312" w:cs="仿宋_GB2312"/>
          <w:b w:val="0"/>
          <w:bCs/>
          <w:color w:val="000000"/>
          <w:sz w:val="28"/>
          <w:szCs w:val="28"/>
        </w:rPr>
        <w:t>尽事宜，由三方协商解决，另行签订补充协议，补充协议与本合同具有同等法律效力。</w:t>
      </w:r>
    </w:p>
    <w:p>
      <w:pPr>
        <w:tabs>
          <w:tab w:val="left" w:pos="720"/>
        </w:tabs>
        <w:spacing w:afterLines="0" w:line="490" w:lineRule="exact"/>
        <w:ind w:firstLine="562" w:firstLineChars="200"/>
        <w:jc w:val="both"/>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lang w:val="en-US" w:eastAsia="zh-CN"/>
        </w:rPr>
        <w:t>2.</w:t>
      </w:r>
      <w:r>
        <w:rPr>
          <w:rFonts w:hint="eastAsia" w:ascii="仿宋_GB2312" w:hAnsi="仿宋_GB2312" w:eastAsia="仿宋_GB2312" w:cs="仿宋_GB2312"/>
          <w:b w:val="0"/>
          <w:bCs/>
          <w:color w:val="000000"/>
          <w:sz w:val="28"/>
          <w:szCs w:val="28"/>
        </w:rPr>
        <w:t>本</w:t>
      </w:r>
      <w:r>
        <w:rPr>
          <w:rFonts w:hint="eastAsia" w:ascii="仿宋_GB2312" w:hAnsi="仿宋_GB2312" w:eastAsia="仿宋_GB2312" w:cs="仿宋_GB2312"/>
          <w:b w:val="0"/>
          <w:bCs/>
          <w:color w:val="000000"/>
          <w:sz w:val="28"/>
          <w:szCs w:val="28"/>
          <w:lang w:val="en-US" w:eastAsia="zh-CN"/>
        </w:rPr>
        <w:t>合</w:t>
      </w:r>
      <w:r>
        <w:rPr>
          <w:rFonts w:hint="eastAsia" w:ascii="仿宋_GB2312" w:hAnsi="仿宋_GB2312" w:eastAsia="仿宋_GB2312" w:cs="仿宋_GB2312"/>
          <w:b w:val="0"/>
          <w:bCs/>
          <w:color w:val="000000"/>
          <w:sz w:val="28"/>
          <w:szCs w:val="28"/>
        </w:rPr>
        <w:t>同一式</w:t>
      </w:r>
      <w:r>
        <w:rPr>
          <w:rFonts w:hint="eastAsia" w:ascii="仿宋_GB2312" w:hAnsi="仿宋_GB2312" w:eastAsia="仿宋_GB2312" w:cs="仿宋_GB2312"/>
          <w:b w:val="0"/>
          <w:bCs/>
          <w:color w:val="000000"/>
          <w:sz w:val="28"/>
          <w:szCs w:val="28"/>
          <w:lang w:val="en-US" w:eastAsia="zh-CN"/>
        </w:rPr>
        <w:t>叁</w:t>
      </w:r>
      <w:r>
        <w:rPr>
          <w:rFonts w:hint="eastAsia" w:ascii="仿宋_GB2312" w:hAnsi="仿宋_GB2312" w:eastAsia="仿宋_GB2312" w:cs="仿宋_GB2312"/>
          <w:b w:val="0"/>
          <w:bCs/>
          <w:color w:val="000000"/>
          <w:sz w:val="28"/>
          <w:szCs w:val="28"/>
        </w:rPr>
        <w:t>份，甲方一、甲方二、乙方各执</w:t>
      </w:r>
      <w:r>
        <w:rPr>
          <w:rFonts w:hint="eastAsia" w:ascii="仿宋_GB2312" w:hAnsi="仿宋_GB2312" w:eastAsia="仿宋_GB2312" w:cs="仿宋_GB2312"/>
          <w:b w:val="0"/>
          <w:bCs/>
          <w:color w:val="000000"/>
          <w:sz w:val="28"/>
          <w:szCs w:val="28"/>
          <w:lang w:eastAsia="zh-CN"/>
        </w:rPr>
        <w:t>壹</w:t>
      </w:r>
      <w:r>
        <w:rPr>
          <w:rFonts w:hint="eastAsia" w:ascii="仿宋_GB2312" w:hAnsi="仿宋_GB2312" w:eastAsia="仿宋_GB2312" w:cs="仿宋_GB2312"/>
          <w:b w:val="0"/>
          <w:bCs/>
          <w:color w:val="000000"/>
          <w:sz w:val="28"/>
          <w:szCs w:val="28"/>
        </w:rPr>
        <w:t>份，具有同等法律效力</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rPr>
        <w:t>自三方</w:t>
      </w:r>
      <w:r>
        <w:rPr>
          <w:rFonts w:hint="eastAsia" w:ascii="仿宋_GB2312" w:hAnsi="仿宋_GB2312" w:eastAsia="仿宋_GB2312" w:cs="仿宋_GB2312"/>
          <w:b w:val="0"/>
          <w:bCs/>
          <w:color w:val="000000"/>
          <w:sz w:val="28"/>
          <w:szCs w:val="28"/>
          <w:lang w:val="en-US" w:eastAsia="zh-CN"/>
        </w:rPr>
        <w:t>法定代表人或授权代表签字并加</w:t>
      </w:r>
      <w:r>
        <w:rPr>
          <w:rFonts w:hint="eastAsia" w:ascii="仿宋_GB2312" w:hAnsi="仿宋_GB2312" w:eastAsia="仿宋_GB2312" w:cs="仿宋_GB2312"/>
          <w:b w:val="0"/>
          <w:bCs/>
          <w:color w:val="000000"/>
          <w:sz w:val="28"/>
          <w:szCs w:val="28"/>
        </w:rPr>
        <w:t>盖</w:t>
      </w:r>
      <w:r>
        <w:rPr>
          <w:rFonts w:hint="eastAsia" w:ascii="仿宋_GB2312" w:hAnsi="仿宋_GB2312" w:eastAsia="仿宋_GB2312" w:cs="仿宋_GB2312"/>
          <w:b w:val="0"/>
          <w:bCs/>
          <w:color w:val="000000"/>
          <w:sz w:val="28"/>
          <w:szCs w:val="28"/>
          <w:lang w:val="en-US" w:eastAsia="zh-CN"/>
        </w:rPr>
        <w:t>公</w:t>
      </w:r>
      <w:r>
        <w:rPr>
          <w:rFonts w:hint="eastAsia" w:ascii="仿宋_GB2312" w:hAnsi="仿宋_GB2312" w:eastAsia="仿宋_GB2312" w:cs="仿宋_GB2312"/>
          <w:b w:val="0"/>
          <w:bCs/>
          <w:color w:val="000000"/>
          <w:sz w:val="28"/>
          <w:szCs w:val="28"/>
        </w:rPr>
        <w:t>章之日起生效。</w:t>
      </w:r>
    </w:p>
    <w:p>
      <w:pPr>
        <w:widowControl/>
        <w:tabs>
          <w:tab w:val="left" w:pos="720"/>
        </w:tabs>
        <w:spacing w:before="0" w:after="0"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 w:val="0"/>
          <w:bCs/>
          <w:color w:val="000000"/>
          <w:sz w:val="28"/>
          <w:szCs w:val="28"/>
          <w:u w:val="none"/>
          <w:lang w:val="en-US" w:eastAsia="zh-CN"/>
        </w:rPr>
        <w:t>附件：2027-2029年拟委托租金、转让评估资产清单</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bookmarkStart w:id="0" w:name="_GoBack"/>
      <w:bookmarkEnd w:id="0"/>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lang w:val="en-US" w:eastAsia="zh-CN"/>
        </w:rPr>
      </w:pPr>
      <w:r>
        <w:rPr>
          <w:rFonts w:hint="eastAsia" w:ascii="仿宋_GB2312" w:hAnsi="仿宋_GB2312" w:eastAsia="仿宋_GB2312" w:cs="仿宋_GB2312"/>
          <w:bCs/>
          <w:color w:val="000000"/>
          <w:sz w:val="28"/>
          <w:szCs w:val="28"/>
        </w:rPr>
        <w:t>甲方一</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公章</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none"/>
        </w:rPr>
        <w:t>龙岩市国有资产投资经营有限公司</w:t>
      </w:r>
      <w:r>
        <w:rPr>
          <w:rFonts w:hint="eastAsia" w:ascii="仿宋_GB2312" w:hAnsi="仿宋_GB2312" w:eastAsia="仿宋_GB2312" w:cs="仿宋_GB2312"/>
          <w:bCs/>
          <w:color w:val="000000"/>
          <w:sz w:val="28"/>
          <w:szCs w:val="28"/>
          <w:u w:val="none"/>
          <w:lang w:val="en-US" w:eastAsia="zh-CN"/>
        </w:rPr>
        <w:t xml:space="preserve">  </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lang w:val="en-US" w:eastAsia="zh-CN"/>
        </w:rPr>
      </w:pPr>
    </w:p>
    <w:p>
      <w:pPr>
        <w:tabs>
          <w:tab w:val="left" w:pos="720"/>
        </w:tabs>
        <w:spacing w:afterLines="0" w:line="490" w:lineRule="exact"/>
        <w:ind w:firstLine="562" w:firstLineChars="200"/>
        <w:jc w:val="both"/>
        <w:rPr>
          <w:rFonts w:hint="default" w:ascii="仿宋_GB2312" w:hAnsi="仿宋_GB2312" w:eastAsia="仿宋_GB2312" w:cs="仿宋_GB2312"/>
          <w:bCs/>
          <w:color w:val="000000"/>
          <w:sz w:val="28"/>
          <w:szCs w:val="28"/>
          <w:lang w:val="en-US" w:eastAsia="zh-CN"/>
        </w:rPr>
      </w:pPr>
      <w:r>
        <w:rPr>
          <w:rFonts w:hint="eastAsia" w:ascii="仿宋_GB2312" w:hAnsi="仿宋_GB2312" w:eastAsia="仿宋_GB2312" w:cs="仿宋_GB2312"/>
          <w:bCs/>
          <w:color w:val="000000"/>
          <w:sz w:val="28"/>
          <w:szCs w:val="28"/>
          <w:lang w:val="en-US" w:eastAsia="zh-CN"/>
        </w:rPr>
        <w:t>法定代表人或授权代表（签章）：</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u w:val="none"/>
        </w:rPr>
      </w:pPr>
      <w:r>
        <w:rPr>
          <w:rFonts w:hint="eastAsia" w:ascii="仿宋_GB2312" w:hAnsi="仿宋_GB2312" w:eastAsia="仿宋_GB2312" w:cs="仿宋_GB2312"/>
          <w:bCs/>
          <w:color w:val="000000"/>
          <w:sz w:val="28"/>
          <w:szCs w:val="28"/>
        </w:rPr>
        <w:t>经办人</w:t>
      </w:r>
      <w:r>
        <w:rPr>
          <w:rFonts w:hint="eastAsia" w:ascii="仿宋_GB2312" w:hAnsi="仿宋_GB2312" w:eastAsia="仿宋_GB2312" w:cs="仿宋_GB2312"/>
          <w:bCs/>
          <w:color w:val="000000"/>
          <w:sz w:val="28"/>
          <w:szCs w:val="28"/>
          <w:lang w:eastAsia="zh-CN"/>
        </w:rPr>
        <w:t>及联系方式</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none"/>
        </w:rPr>
        <w:t xml:space="preserve">                              </w:t>
      </w:r>
      <w:r>
        <w:rPr>
          <w:rFonts w:hint="eastAsia" w:ascii="仿宋_GB2312" w:hAnsi="仿宋_GB2312" w:eastAsia="仿宋_GB2312" w:cs="仿宋_GB2312"/>
          <w:bCs/>
          <w:color w:val="000000"/>
          <w:sz w:val="28"/>
          <w:szCs w:val="28"/>
          <w:u w:val="none"/>
          <w:lang w:val="en-US" w:eastAsia="zh-CN"/>
        </w:rPr>
        <w:t xml:space="preserve"> </w:t>
      </w:r>
      <w:r>
        <w:rPr>
          <w:rFonts w:hint="eastAsia" w:ascii="仿宋_GB2312" w:hAnsi="仿宋_GB2312" w:eastAsia="仿宋_GB2312" w:cs="仿宋_GB2312"/>
          <w:bCs/>
          <w:color w:val="000000"/>
          <w:sz w:val="28"/>
          <w:szCs w:val="28"/>
          <w:u w:val="none"/>
        </w:rPr>
        <w:t xml:space="preserve"> </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u w:val="none"/>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u w:val="none"/>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甲方二</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公章</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color w:val="000000"/>
          <w:sz w:val="28"/>
          <w:szCs w:val="28"/>
          <w:u w:val="none"/>
        </w:rPr>
        <w:t>福建德晖实业有限公司</w:t>
      </w:r>
      <w:r>
        <w:rPr>
          <w:rFonts w:hint="eastAsia" w:ascii="仿宋_GB2312" w:hAnsi="仿宋_GB2312" w:eastAsia="仿宋_GB2312" w:cs="仿宋_GB2312"/>
          <w:bCs/>
          <w:color w:val="000000"/>
          <w:sz w:val="28"/>
          <w:szCs w:val="28"/>
        </w:rPr>
        <w:t xml:space="preserve">     </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法定代表人或授权代表（签章）：</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u w:val="none"/>
        </w:rPr>
      </w:pPr>
      <w:r>
        <w:rPr>
          <w:rFonts w:hint="eastAsia" w:ascii="仿宋_GB2312" w:hAnsi="仿宋_GB2312" w:eastAsia="仿宋_GB2312" w:cs="仿宋_GB2312"/>
          <w:bCs/>
          <w:color w:val="000000"/>
          <w:sz w:val="28"/>
          <w:szCs w:val="28"/>
        </w:rPr>
        <w:t>经办人</w:t>
      </w:r>
      <w:r>
        <w:rPr>
          <w:rFonts w:hint="eastAsia" w:ascii="仿宋_GB2312" w:hAnsi="仿宋_GB2312" w:eastAsia="仿宋_GB2312" w:cs="仿宋_GB2312"/>
          <w:bCs/>
          <w:color w:val="000000"/>
          <w:sz w:val="28"/>
          <w:szCs w:val="28"/>
          <w:lang w:eastAsia="zh-CN"/>
        </w:rPr>
        <w:t>及联系方式</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none"/>
        </w:rPr>
        <w:t xml:space="preserve">                              </w:t>
      </w:r>
      <w:r>
        <w:rPr>
          <w:rFonts w:hint="eastAsia" w:ascii="仿宋_GB2312" w:hAnsi="仿宋_GB2312" w:eastAsia="仿宋_GB2312" w:cs="仿宋_GB2312"/>
          <w:bCs/>
          <w:color w:val="000000"/>
          <w:sz w:val="28"/>
          <w:szCs w:val="28"/>
          <w:u w:val="none"/>
          <w:lang w:val="en-US" w:eastAsia="zh-CN"/>
        </w:rPr>
        <w:t xml:space="preserve">  </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 xml:space="preserve">    </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乙方（公章）：</w:t>
      </w:r>
      <w:r>
        <w:rPr>
          <w:rFonts w:hint="eastAsia" w:ascii="仿宋_GB2312" w:hAnsi="仿宋_GB2312" w:eastAsia="仿宋_GB2312" w:cs="仿宋_GB2312"/>
          <w:color w:val="000000"/>
          <w:sz w:val="28"/>
          <w:szCs w:val="28"/>
          <w:u w:val="none"/>
        </w:rPr>
        <w:t xml:space="preserve">          </w:t>
      </w:r>
      <w:r>
        <w:rPr>
          <w:rFonts w:hint="eastAsia" w:ascii="仿宋_GB2312" w:hAnsi="仿宋_GB2312" w:eastAsia="仿宋_GB2312" w:cs="仿宋_GB2312"/>
          <w:color w:val="000000"/>
          <w:sz w:val="28"/>
          <w:szCs w:val="28"/>
          <w:u w:val="none"/>
          <w:lang w:val="en-US" w:eastAsia="zh-CN"/>
        </w:rPr>
        <w:t xml:space="preserve">                         </w:t>
      </w:r>
      <w:r>
        <w:rPr>
          <w:rFonts w:hint="eastAsia" w:ascii="仿宋_GB2312" w:hAnsi="仿宋_GB2312" w:eastAsia="仿宋_GB2312" w:cs="仿宋_GB2312"/>
          <w:bCs/>
          <w:color w:val="000000"/>
          <w:sz w:val="28"/>
          <w:szCs w:val="28"/>
        </w:rPr>
        <w:t xml:space="preserve">             </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法定代表人或授权代表（签章）：</w:t>
      </w: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p>
    <w:p>
      <w:pPr>
        <w:tabs>
          <w:tab w:val="left" w:pos="720"/>
        </w:tabs>
        <w:spacing w:afterLines="0" w:line="490" w:lineRule="exact"/>
        <w:ind w:firstLine="562"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经办人</w:t>
      </w:r>
      <w:r>
        <w:rPr>
          <w:rFonts w:hint="eastAsia" w:ascii="仿宋_GB2312" w:hAnsi="仿宋_GB2312" w:eastAsia="仿宋_GB2312" w:cs="仿宋_GB2312"/>
          <w:bCs/>
          <w:color w:val="000000"/>
          <w:sz w:val="28"/>
          <w:szCs w:val="28"/>
          <w:lang w:eastAsia="zh-CN"/>
        </w:rPr>
        <w:t>及联系方式</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none"/>
        </w:rPr>
        <w:t xml:space="preserve">                                 </w:t>
      </w:r>
      <w:r>
        <w:rPr>
          <w:rFonts w:hint="eastAsia" w:ascii="仿宋_GB2312" w:hAnsi="仿宋_GB2312" w:eastAsia="仿宋_GB2312" w:cs="仿宋_GB2312"/>
          <w:bCs/>
          <w:color w:val="000000"/>
          <w:sz w:val="28"/>
          <w:szCs w:val="28"/>
        </w:rPr>
        <w:t xml:space="preserve">                                                                   </w:t>
      </w:r>
    </w:p>
    <w:p>
      <w:pPr>
        <w:widowControl w:val="0"/>
        <w:spacing w:afterLines="0" w:line="490" w:lineRule="exact"/>
        <w:ind w:firstLine="562" w:firstLineChars="200"/>
        <w:jc w:val="both"/>
        <w:rPr>
          <w:rFonts w:hint="eastAsia" w:ascii="仿宋_GB2312" w:hAnsi="仿宋_GB2312" w:eastAsia="仿宋_GB2312" w:cs="仿宋_GB2312"/>
          <w:color w:val="000000"/>
          <w:sz w:val="28"/>
          <w:szCs w:val="28"/>
        </w:rPr>
      </w:pPr>
    </w:p>
    <w:p>
      <w:pPr>
        <w:pStyle w:val="2"/>
        <w:spacing w:afterLines="0" w:line="490" w:lineRule="exact"/>
        <w:rPr>
          <w:rFonts w:hint="eastAsia"/>
        </w:rPr>
      </w:pPr>
    </w:p>
    <w:p>
      <w:pPr>
        <w:widowControl w:val="0"/>
        <w:spacing w:afterLines="0" w:line="490" w:lineRule="exact"/>
        <w:ind w:firstLine="0" w:firstLineChars="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color w:val="000000"/>
          <w:sz w:val="28"/>
          <w:szCs w:val="28"/>
        </w:rPr>
        <w:t>签约</w:t>
      </w:r>
      <w:r>
        <w:rPr>
          <w:rFonts w:hint="eastAsia" w:ascii="仿宋_GB2312" w:hAnsi="仿宋_GB2312" w:eastAsia="仿宋_GB2312" w:cs="仿宋_GB2312"/>
          <w:color w:val="000000"/>
          <w:sz w:val="28"/>
          <w:szCs w:val="28"/>
          <w:lang w:val="en-US" w:eastAsia="zh-CN"/>
        </w:rPr>
        <w:t>时间、</w:t>
      </w:r>
      <w:r>
        <w:rPr>
          <w:rFonts w:hint="eastAsia" w:ascii="仿宋_GB2312" w:hAnsi="仿宋_GB2312" w:eastAsia="仿宋_GB2312" w:cs="仿宋_GB2312"/>
          <w:color w:val="000000"/>
          <w:sz w:val="28"/>
          <w:szCs w:val="28"/>
        </w:rPr>
        <w:t>地点：</w:t>
      </w:r>
      <w:r>
        <w:rPr>
          <w:rFonts w:hint="eastAsia" w:ascii="仿宋_GB2312" w:hAnsi="仿宋_GB2312" w:eastAsia="仿宋_GB2312" w:cs="仿宋_GB2312"/>
          <w:color w:val="000000"/>
          <w:sz w:val="28"/>
          <w:szCs w:val="28"/>
          <w:u w:val="none"/>
          <w:lang w:val="en-US" w:eastAsia="zh-CN"/>
        </w:rPr>
        <w:t xml:space="preserve">2026 </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u w:val="none"/>
          <w:lang w:val="en-US" w:eastAsia="zh-CN"/>
        </w:rPr>
        <w:t>10</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color w:val="000000"/>
          <w:sz w:val="28"/>
          <w:szCs w:val="28"/>
          <w:lang w:val="en-US" w:eastAsia="zh-CN"/>
        </w:rPr>
        <w:t>于</w:t>
      </w:r>
      <w:r>
        <w:rPr>
          <w:rFonts w:hint="eastAsia" w:ascii="仿宋_GB2312" w:hAnsi="仿宋_GB2312" w:eastAsia="仿宋_GB2312" w:cs="仿宋_GB2312"/>
          <w:color w:val="000000"/>
          <w:sz w:val="28"/>
          <w:szCs w:val="28"/>
        </w:rPr>
        <w:t>龙岩市新罗区</w:t>
      </w:r>
    </w:p>
    <w:p>
      <w:pPr>
        <w:widowControl w:val="0"/>
        <w:spacing w:afterLines="0" w:line="490" w:lineRule="exact"/>
        <w:ind w:firstLine="562" w:firstLineChars="200"/>
        <w:jc w:val="both"/>
        <w:rPr>
          <w:rFonts w:hint="eastAsia" w:ascii="仿宋_GB2312" w:hAnsi="仿宋_GB2312" w:eastAsia="仿宋_GB2312" w:cs="仿宋_GB2312"/>
          <w:sz w:val="28"/>
          <w:szCs w:val="28"/>
        </w:rPr>
      </w:pPr>
    </w:p>
    <w:sectPr>
      <w:footerReference r:id="rId3" w:type="default"/>
      <w:pgSz w:w="11906" w:h="16838"/>
      <w:pgMar w:top="2098" w:right="1531" w:bottom="1984" w:left="1531" w:header="907" w:footer="907" w:gutter="0"/>
      <w:cols w:space="720" w:num="1"/>
      <w:docGrid w:type="linesAndChars" w:linePitch="273" w:charSpace="35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rPr>
    </w:pPr>
    <w:r>
      <w:fldChar w:fldCharType="begin"/>
    </w:r>
    <w:r>
      <w:rPr>
        <w:rStyle w:val="13"/>
      </w:rPr>
      <w:instrText xml:space="preserve"> PAGE </w:instrText>
    </w:r>
    <w:r>
      <w:fldChar w:fldCharType="separate"/>
    </w:r>
    <w:r>
      <w:rPr>
        <w:rStyle w:val="13"/>
        <w:lang w:val="en-US" w:eastAsia="zh-CN"/>
      </w:rPr>
      <w:t>1</w:t>
    </w:r>
    <w:r>
      <w:fldChar w:fldCharType="end"/>
    </w:r>
    <w:r>
      <w:rPr>
        <w:rStyle w:val="13"/>
        <w:rFonts w:hint="eastAsia"/>
      </w:rPr>
      <w:t>/</w:t>
    </w:r>
    <w:r>
      <w:fldChar w:fldCharType="begin"/>
    </w:r>
    <w:r>
      <w:rPr>
        <w:rStyle w:val="13"/>
      </w:rPr>
      <w:instrText xml:space="preserve"> NUMPAGES </w:instrText>
    </w:r>
    <w:r>
      <w:fldChar w:fldCharType="separate"/>
    </w:r>
    <w:r>
      <w:rPr>
        <w:rStyle w:val="13"/>
        <w:lang w:val="en-US" w:eastAsia="zh-CN"/>
      </w:rPr>
      <w:t>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1"/>
  <w:drawingGridVerticalSpacing w:val="273"/>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1ZjhhYTI2ZTYxNGY2NzYzZDU2NWJlN2VhNjUwMWYifQ=="/>
  </w:docVars>
  <w:rsids>
    <w:rsidRoot w:val="009D03E7"/>
    <w:rsid w:val="000006ED"/>
    <w:rsid w:val="00000E0D"/>
    <w:rsid w:val="00006400"/>
    <w:rsid w:val="000064FB"/>
    <w:rsid w:val="000163B6"/>
    <w:rsid w:val="00017C13"/>
    <w:rsid w:val="0002163B"/>
    <w:rsid w:val="00030665"/>
    <w:rsid w:val="00030AC1"/>
    <w:rsid w:val="00032929"/>
    <w:rsid w:val="000512F2"/>
    <w:rsid w:val="00051734"/>
    <w:rsid w:val="00053BEE"/>
    <w:rsid w:val="0006145E"/>
    <w:rsid w:val="0006151D"/>
    <w:rsid w:val="000631F4"/>
    <w:rsid w:val="0006566F"/>
    <w:rsid w:val="000751BE"/>
    <w:rsid w:val="00092D10"/>
    <w:rsid w:val="0009305F"/>
    <w:rsid w:val="000938FD"/>
    <w:rsid w:val="00093CCE"/>
    <w:rsid w:val="00097938"/>
    <w:rsid w:val="000A442F"/>
    <w:rsid w:val="000A476E"/>
    <w:rsid w:val="000A7EF8"/>
    <w:rsid w:val="000C2D90"/>
    <w:rsid w:val="000C6760"/>
    <w:rsid w:val="000C757B"/>
    <w:rsid w:val="000F3E64"/>
    <w:rsid w:val="000F67CA"/>
    <w:rsid w:val="000F7F52"/>
    <w:rsid w:val="00100729"/>
    <w:rsid w:val="00102FA5"/>
    <w:rsid w:val="00104137"/>
    <w:rsid w:val="0010461A"/>
    <w:rsid w:val="00111080"/>
    <w:rsid w:val="00112AFE"/>
    <w:rsid w:val="00121772"/>
    <w:rsid w:val="00122960"/>
    <w:rsid w:val="00126F81"/>
    <w:rsid w:val="00135341"/>
    <w:rsid w:val="00144C5E"/>
    <w:rsid w:val="00147DF7"/>
    <w:rsid w:val="00152DB6"/>
    <w:rsid w:val="001614D7"/>
    <w:rsid w:val="001629B1"/>
    <w:rsid w:val="0016457F"/>
    <w:rsid w:val="001657EE"/>
    <w:rsid w:val="00172651"/>
    <w:rsid w:val="00172A43"/>
    <w:rsid w:val="00172DAD"/>
    <w:rsid w:val="00191B4A"/>
    <w:rsid w:val="00192DFD"/>
    <w:rsid w:val="001939A6"/>
    <w:rsid w:val="00193CF9"/>
    <w:rsid w:val="00195800"/>
    <w:rsid w:val="00195808"/>
    <w:rsid w:val="00197264"/>
    <w:rsid w:val="001A018E"/>
    <w:rsid w:val="001B04D6"/>
    <w:rsid w:val="001B2F9A"/>
    <w:rsid w:val="001C506C"/>
    <w:rsid w:val="001C59F1"/>
    <w:rsid w:val="001C62B7"/>
    <w:rsid w:val="001E7125"/>
    <w:rsid w:val="001F64B7"/>
    <w:rsid w:val="001F684F"/>
    <w:rsid w:val="00206D4E"/>
    <w:rsid w:val="00212D33"/>
    <w:rsid w:val="0022360F"/>
    <w:rsid w:val="00224B72"/>
    <w:rsid w:val="00226DDA"/>
    <w:rsid w:val="0023500E"/>
    <w:rsid w:val="00245C49"/>
    <w:rsid w:val="0025416F"/>
    <w:rsid w:val="0025559D"/>
    <w:rsid w:val="00262663"/>
    <w:rsid w:val="00267F0E"/>
    <w:rsid w:val="002707E0"/>
    <w:rsid w:val="00270D7E"/>
    <w:rsid w:val="002734CF"/>
    <w:rsid w:val="00276E3D"/>
    <w:rsid w:val="00277620"/>
    <w:rsid w:val="00277931"/>
    <w:rsid w:val="0028041D"/>
    <w:rsid w:val="00280B49"/>
    <w:rsid w:val="002810D5"/>
    <w:rsid w:val="002822A5"/>
    <w:rsid w:val="002950E9"/>
    <w:rsid w:val="00297E7D"/>
    <w:rsid w:val="002D0079"/>
    <w:rsid w:val="002D283F"/>
    <w:rsid w:val="002D691E"/>
    <w:rsid w:val="002E4DF6"/>
    <w:rsid w:val="002E59F3"/>
    <w:rsid w:val="002F365E"/>
    <w:rsid w:val="002F5927"/>
    <w:rsid w:val="003045AF"/>
    <w:rsid w:val="00323FE6"/>
    <w:rsid w:val="0032496C"/>
    <w:rsid w:val="00336C03"/>
    <w:rsid w:val="00337FCD"/>
    <w:rsid w:val="00342467"/>
    <w:rsid w:val="0034314B"/>
    <w:rsid w:val="00356981"/>
    <w:rsid w:val="003649B6"/>
    <w:rsid w:val="00364D17"/>
    <w:rsid w:val="00371230"/>
    <w:rsid w:val="00381041"/>
    <w:rsid w:val="003A5167"/>
    <w:rsid w:val="003D2467"/>
    <w:rsid w:val="003D6039"/>
    <w:rsid w:val="003E1267"/>
    <w:rsid w:val="003E1863"/>
    <w:rsid w:val="003E4773"/>
    <w:rsid w:val="003F2FC6"/>
    <w:rsid w:val="003F58FB"/>
    <w:rsid w:val="004058E0"/>
    <w:rsid w:val="00406DE8"/>
    <w:rsid w:val="00410F99"/>
    <w:rsid w:val="00415EB1"/>
    <w:rsid w:val="004212CF"/>
    <w:rsid w:val="0042255F"/>
    <w:rsid w:val="00442083"/>
    <w:rsid w:val="00452EBD"/>
    <w:rsid w:val="0046264F"/>
    <w:rsid w:val="004663ED"/>
    <w:rsid w:val="00475A38"/>
    <w:rsid w:val="00490380"/>
    <w:rsid w:val="00494700"/>
    <w:rsid w:val="004A6255"/>
    <w:rsid w:val="004B2FE5"/>
    <w:rsid w:val="004B3036"/>
    <w:rsid w:val="004B4426"/>
    <w:rsid w:val="004B5C0D"/>
    <w:rsid w:val="004B75B1"/>
    <w:rsid w:val="004C0326"/>
    <w:rsid w:val="004C073A"/>
    <w:rsid w:val="004C078C"/>
    <w:rsid w:val="004C452D"/>
    <w:rsid w:val="004C67E5"/>
    <w:rsid w:val="004D417B"/>
    <w:rsid w:val="004E2086"/>
    <w:rsid w:val="004E2E7A"/>
    <w:rsid w:val="004E37F9"/>
    <w:rsid w:val="004E3DB9"/>
    <w:rsid w:val="004E4C1B"/>
    <w:rsid w:val="004E78B2"/>
    <w:rsid w:val="004F48B3"/>
    <w:rsid w:val="00510931"/>
    <w:rsid w:val="00513904"/>
    <w:rsid w:val="0052194B"/>
    <w:rsid w:val="005227F8"/>
    <w:rsid w:val="00531022"/>
    <w:rsid w:val="0053336C"/>
    <w:rsid w:val="00537BAA"/>
    <w:rsid w:val="00540A2F"/>
    <w:rsid w:val="00540E86"/>
    <w:rsid w:val="00546D9E"/>
    <w:rsid w:val="005544B8"/>
    <w:rsid w:val="00555075"/>
    <w:rsid w:val="0055541D"/>
    <w:rsid w:val="00555BDA"/>
    <w:rsid w:val="00561417"/>
    <w:rsid w:val="00567EA5"/>
    <w:rsid w:val="00575E99"/>
    <w:rsid w:val="00584032"/>
    <w:rsid w:val="0059738A"/>
    <w:rsid w:val="005A1015"/>
    <w:rsid w:val="005A1FB0"/>
    <w:rsid w:val="005B4B44"/>
    <w:rsid w:val="005B521D"/>
    <w:rsid w:val="005B6372"/>
    <w:rsid w:val="005C2537"/>
    <w:rsid w:val="005C4454"/>
    <w:rsid w:val="005D0F24"/>
    <w:rsid w:val="005F20FC"/>
    <w:rsid w:val="005F4E8B"/>
    <w:rsid w:val="005F620D"/>
    <w:rsid w:val="006006FD"/>
    <w:rsid w:val="0060219F"/>
    <w:rsid w:val="00603959"/>
    <w:rsid w:val="00605DD9"/>
    <w:rsid w:val="0060647E"/>
    <w:rsid w:val="0060687B"/>
    <w:rsid w:val="0061543D"/>
    <w:rsid w:val="0062700E"/>
    <w:rsid w:val="00635EA9"/>
    <w:rsid w:val="006369AB"/>
    <w:rsid w:val="00640848"/>
    <w:rsid w:val="00643359"/>
    <w:rsid w:val="0065134B"/>
    <w:rsid w:val="006552D8"/>
    <w:rsid w:val="00655721"/>
    <w:rsid w:val="00657053"/>
    <w:rsid w:val="0065740F"/>
    <w:rsid w:val="00665906"/>
    <w:rsid w:val="0067003D"/>
    <w:rsid w:val="00683001"/>
    <w:rsid w:val="006879EE"/>
    <w:rsid w:val="00691778"/>
    <w:rsid w:val="0069695E"/>
    <w:rsid w:val="006979C2"/>
    <w:rsid w:val="006A334D"/>
    <w:rsid w:val="006B71EE"/>
    <w:rsid w:val="006B7E8B"/>
    <w:rsid w:val="006C2404"/>
    <w:rsid w:val="006C427E"/>
    <w:rsid w:val="006D6DBB"/>
    <w:rsid w:val="006E3E8F"/>
    <w:rsid w:val="006E4974"/>
    <w:rsid w:val="006E4BD3"/>
    <w:rsid w:val="006E6DA1"/>
    <w:rsid w:val="006F007D"/>
    <w:rsid w:val="006F5604"/>
    <w:rsid w:val="00704253"/>
    <w:rsid w:val="00716FE3"/>
    <w:rsid w:val="00717EBF"/>
    <w:rsid w:val="007251E7"/>
    <w:rsid w:val="00731DFD"/>
    <w:rsid w:val="007330CF"/>
    <w:rsid w:val="00734352"/>
    <w:rsid w:val="00740D53"/>
    <w:rsid w:val="00741BF0"/>
    <w:rsid w:val="00750792"/>
    <w:rsid w:val="007607D0"/>
    <w:rsid w:val="00762931"/>
    <w:rsid w:val="00766E10"/>
    <w:rsid w:val="00770D2E"/>
    <w:rsid w:val="00773A1B"/>
    <w:rsid w:val="00774DE4"/>
    <w:rsid w:val="00775EE6"/>
    <w:rsid w:val="00776B37"/>
    <w:rsid w:val="0079137F"/>
    <w:rsid w:val="00795F00"/>
    <w:rsid w:val="007A3AF9"/>
    <w:rsid w:val="007A4CA5"/>
    <w:rsid w:val="007B67BC"/>
    <w:rsid w:val="007B7B7F"/>
    <w:rsid w:val="007D2775"/>
    <w:rsid w:val="007D36E7"/>
    <w:rsid w:val="007D3E06"/>
    <w:rsid w:val="007E0069"/>
    <w:rsid w:val="007F216E"/>
    <w:rsid w:val="007F589E"/>
    <w:rsid w:val="00814A19"/>
    <w:rsid w:val="008151CE"/>
    <w:rsid w:val="008168FF"/>
    <w:rsid w:val="00821D6B"/>
    <w:rsid w:val="00826F3F"/>
    <w:rsid w:val="00837DD2"/>
    <w:rsid w:val="00843604"/>
    <w:rsid w:val="00843DAD"/>
    <w:rsid w:val="0085007E"/>
    <w:rsid w:val="00852635"/>
    <w:rsid w:val="0086332C"/>
    <w:rsid w:val="00872217"/>
    <w:rsid w:val="00873D0C"/>
    <w:rsid w:val="0087551A"/>
    <w:rsid w:val="008804A3"/>
    <w:rsid w:val="00885404"/>
    <w:rsid w:val="008A0EC5"/>
    <w:rsid w:val="008A4D27"/>
    <w:rsid w:val="008C1D8F"/>
    <w:rsid w:val="008C78C4"/>
    <w:rsid w:val="008D2DE9"/>
    <w:rsid w:val="008D5E9B"/>
    <w:rsid w:val="008E197E"/>
    <w:rsid w:val="008E33E6"/>
    <w:rsid w:val="008E4317"/>
    <w:rsid w:val="008E56CC"/>
    <w:rsid w:val="008E7743"/>
    <w:rsid w:val="008F1355"/>
    <w:rsid w:val="00902864"/>
    <w:rsid w:val="0090404F"/>
    <w:rsid w:val="00911CC6"/>
    <w:rsid w:val="00914C12"/>
    <w:rsid w:val="00932254"/>
    <w:rsid w:val="00933EE9"/>
    <w:rsid w:val="00940488"/>
    <w:rsid w:val="0094083D"/>
    <w:rsid w:val="009523DD"/>
    <w:rsid w:val="00971C67"/>
    <w:rsid w:val="009803F9"/>
    <w:rsid w:val="00992AE8"/>
    <w:rsid w:val="009A5D97"/>
    <w:rsid w:val="009B32E4"/>
    <w:rsid w:val="009B7E0D"/>
    <w:rsid w:val="009C34AE"/>
    <w:rsid w:val="009D03E7"/>
    <w:rsid w:val="009D3FBD"/>
    <w:rsid w:val="009D6A88"/>
    <w:rsid w:val="009D7611"/>
    <w:rsid w:val="009E4060"/>
    <w:rsid w:val="009E523C"/>
    <w:rsid w:val="009E5D21"/>
    <w:rsid w:val="009E711C"/>
    <w:rsid w:val="009F6854"/>
    <w:rsid w:val="00A0368D"/>
    <w:rsid w:val="00A03A65"/>
    <w:rsid w:val="00A06C01"/>
    <w:rsid w:val="00A17343"/>
    <w:rsid w:val="00A221A4"/>
    <w:rsid w:val="00A23520"/>
    <w:rsid w:val="00A2481C"/>
    <w:rsid w:val="00A26334"/>
    <w:rsid w:val="00A26CF9"/>
    <w:rsid w:val="00A346B3"/>
    <w:rsid w:val="00A372E0"/>
    <w:rsid w:val="00A42386"/>
    <w:rsid w:val="00A42B0B"/>
    <w:rsid w:val="00A4551B"/>
    <w:rsid w:val="00A45E6F"/>
    <w:rsid w:val="00A53D76"/>
    <w:rsid w:val="00A54AC0"/>
    <w:rsid w:val="00A60E81"/>
    <w:rsid w:val="00A63702"/>
    <w:rsid w:val="00A65718"/>
    <w:rsid w:val="00A67FD5"/>
    <w:rsid w:val="00A740E9"/>
    <w:rsid w:val="00A807F0"/>
    <w:rsid w:val="00A817AC"/>
    <w:rsid w:val="00A84083"/>
    <w:rsid w:val="00A87EAB"/>
    <w:rsid w:val="00A950EF"/>
    <w:rsid w:val="00A95313"/>
    <w:rsid w:val="00A95A6F"/>
    <w:rsid w:val="00AA103F"/>
    <w:rsid w:val="00AA1C98"/>
    <w:rsid w:val="00AD6899"/>
    <w:rsid w:val="00AD7676"/>
    <w:rsid w:val="00AE3062"/>
    <w:rsid w:val="00B06380"/>
    <w:rsid w:val="00B12AEB"/>
    <w:rsid w:val="00B157A5"/>
    <w:rsid w:val="00B21B7E"/>
    <w:rsid w:val="00B21ECC"/>
    <w:rsid w:val="00B23F9B"/>
    <w:rsid w:val="00B40489"/>
    <w:rsid w:val="00B467B6"/>
    <w:rsid w:val="00B52449"/>
    <w:rsid w:val="00B53484"/>
    <w:rsid w:val="00B5452E"/>
    <w:rsid w:val="00B5679C"/>
    <w:rsid w:val="00B72B69"/>
    <w:rsid w:val="00B746F2"/>
    <w:rsid w:val="00B80B88"/>
    <w:rsid w:val="00B83B02"/>
    <w:rsid w:val="00B84B5D"/>
    <w:rsid w:val="00B85D17"/>
    <w:rsid w:val="00B913A6"/>
    <w:rsid w:val="00BB1FD0"/>
    <w:rsid w:val="00BB466E"/>
    <w:rsid w:val="00BC6371"/>
    <w:rsid w:val="00BD0CFF"/>
    <w:rsid w:val="00BD273D"/>
    <w:rsid w:val="00BE4CA1"/>
    <w:rsid w:val="00BF3EF7"/>
    <w:rsid w:val="00C00D9D"/>
    <w:rsid w:val="00C212CA"/>
    <w:rsid w:val="00C216F6"/>
    <w:rsid w:val="00C276AD"/>
    <w:rsid w:val="00C3104E"/>
    <w:rsid w:val="00C31FF0"/>
    <w:rsid w:val="00C336D2"/>
    <w:rsid w:val="00C34F4B"/>
    <w:rsid w:val="00C42C7E"/>
    <w:rsid w:val="00C51C5D"/>
    <w:rsid w:val="00C62E6C"/>
    <w:rsid w:val="00C700F4"/>
    <w:rsid w:val="00C714DB"/>
    <w:rsid w:val="00C73A41"/>
    <w:rsid w:val="00C73BC6"/>
    <w:rsid w:val="00C7549E"/>
    <w:rsid w:val="00C80CDB"/>
    <w:rsid w:val="00C844D2"/>
    <w:rsid w:val="00C8498D"/>
    <w:rsid w:val="00C87890"/>
    <w:rsid w:val="00C96489"/>
    <w:rsid w:val="00CA45FE"/>
    <w:rsid w:val="00CA5436"/>
    <w:rsid w:val="00CA7CEC"/>
    <w:rsid w:val="00CB26D1"/>
    <w:rsid w:val="00CB5ABB"/>
    <w:rsid w:val="00CB7A37"/>
    <w:rsid w:val="00CB7CDC"/>
    <w:rsid w:val="00CC11FA"/>
    <w:rsid w:val="00CC45DA"/>
    <w:rsid w:val="00CD112F"/>
    <w:rsid w:val="00CE0152"/>
    <w:rsid w:val="00CE17F8"/>
    <w:rsid w:val="00CE4E6E"/>
    <w:rsid w:val="00CF3C02"/>
    <w:rsid w:val="00D0031B"/>
    <w:rsid w:val="00D036BA"/>
    <w:rsid w:val="00D11DE6"/>
    <w:rsid w:val="00D207A0"/>
    <w:rsid w:val="00D27981"/>
    <w:rsid w:val="00D279C7"/>
    <w:rsid w:val="00D43FAF"/>
    <w:rsid w:val="00D542F9"/>
    <w:rsid w:val="00D5670E"/>
    <w:rsid w:val="00D57B27"/>
    <w:rsid w:val="00D6187C"/>
    <w:rsid w:val="00D77C7A"/>
    <w:rsid w:val="00D82788"/>
    <w:rsid w:val="00D94506"/>
    <w:rsid w:val="00D94CBA"/>
    <w:rsid w:val="00DA2293"/>
    <w:rsid w:val="00DA29BA"/>
    <w:rsid w:val="00DA4B42"/>
    <w:rsid w:val="00DC3798"/>
    <w:rsid w:val="00DC3C38"/>
    <w:rsid w:val="00DC4C40"/>
    <w:rsid w:val="00DD0AFE"/>
    <w:rsid w:val="00DD0C36"/>
    <w:rsid w:val="00DD2494"/>
    <w:rsid w:val="00DD2771"/>
    <w:rsid w:val="00DD45CE"/>
    <w:rsid w:val="00DE43D7"/>
    <w:rsid w:val="00DE6D4D"/>
    <w:rsid w:val="00DF0145"/>
    <w:rsid w:val="00DF0EE8"/>
    <w:rsid w:val="00DF7BB9"/>
    <w:rsid w:val="00E05902"/>
    <w:rsid w:val="00E074A8"/>
    <w:rsid w:val="00E07E0C"/>
    <w:rsid w:val="00E12D3E"/>
    <w:rsid w:val="00E205EE"/>
    <w:rsid w:val="00E2200F"/>
    <w:rsid w:val="00E278BA"/>
    <w:rsid w:val="00E34892"/>
    <w:rsid w:val="00E36528"/>
    <w:rsid w:val="00E52AC1"/>
    <w:rsid w:val="00E579B1"/>
    <w:rsid w:val="00E700CB"/>
    <w:rsid w:val="00E71E68"/>
    <w:rsid w:val="00E7382B"/>
    <w:rsid w:val="00E75035"/>
    <w:rsid w:val="00E8130F"/>
    <w:rsid w:val="00E81ECC"/>
    <w:rsid w:val="00E913F1"/>
    <w:rsid w:val="00E9385C"/>
    <w:rsid w:val="00E9458E"/>
    <w:rsid w:val="00E94DE5"/>
    <w:rsid w:val="00EA3743"/>
    <w:rsid w:val="00EB4D78"/>
    <w:rsid w:val="00EC4E2C"/>
    <w:rsid w:val="00ED070E"/>
    <w:rsid w:val="00ED0E75"/>
    <w:rsid w:val="00ED17EA"/>
    <w:rsid w:val="00ED66E1"/>
    <w:rsid w:val="00ED7EDE"/>
    <w:rsid w:val="00EE1E03"/>
    <w:rsid w:val="00EE5EF9"/>
    <w:rsid w:val="00EF352A"/>
    <w:rsid w:val="00F05BE7"/>
    <w:rsid w:val="00F06A11"/>
    <w:rsid w:val="00F06F0E"/>
    <w:rsid w:val="00F06FB6"/>
    <w:rsid w:val="00F134F9"/>
    <w:rsid w:val="00F13715"/>
    <w:rsid w:val="00F149E3"/>
    <w:rsid w:val="00F21EF6"/>
    <w:rsid w:val="00F22637"/>
    <w:rsid w:val="00F271D6"/>
    <w:rsid w:val="00F30B15"/>
    <w:rsid w:val="00F31038"/>
    <w:rsid w:val="00F47C52"/>
    <w:rsid w:val="00F61D0A"/>
    <w:rsid w:val="00F64332"/>
    <w:rsid w:val="00F6718F"/>
    <w:rsid w:val="00F71476"/>
    <w:rsid w:val="00F74B5D"/>
    <w:rsid w:val="00F80931"/>
    <w:rsid w:val="00F810A3"/>
    <w:rsid w:val="00F87E24"/>
    <w:rsid w:val="00FA0A0F"/>
    <w:rsid w:val="00FA1EFB"/>
    <w:rsid w:val="00FA3474"/>
    <w:rsid w:val="00FC0E1B"/>
    <w:rsid w:val="00FD0CB5"/>
    <w:rsid w:val="00FE1FF1"/>
    <w:rsid w:val="00FE79FA"/>
    <w:rsid w:val="00FF2677"/>
    <w:rsid w:val="00FF565F"/>
    <w:rsid w:val="00FF7C2B"/>
    <w:rsid w:val="01CE7107"/>
    <w:rsid w:val="02B21ECD"/>
    <w:rsid w:val="03174F3D"/>
    <w:rsid w:val="03347F3D"/>
    <w:rsid w:val="04253FDA"/>
    <w:rsid w:val="04893C18"/>
    <w:rsid w:val="0556413E"/>
    <w:rsid w:val="066F069C"/>
    <w:rsid w:val="06846D8D"/>
    <w:rsid w:val="077E2789"/>
    <w:rsid w:val="07E35D35"/>
    <w:rsid w:val="080604AD"/>
    <w:rsid w:val="09954C0C"/>
    <w:rsid w:val="09B90AFC"/>
    <w:rsid w:val="0B213EEF"/>
    <w:rsid w:val="0BE44484"/>
    <w:rsid w:val="0E05562F"/>
    <w:rsid w:val="0EB36461"/>
    <w:rsid w:val="0F0D40B1"/>
    <w:rsid w:val="0FC65D20"/>
    <w:rsid w:val="10703EDE"/>
    <w:rsid w:val="108854B9"/>
    <w:rsid w:val="11314143"/>
    <w:rsid w:val="12D51001"/>
    <w:rsid w:val="132A4D9C"/>
    <w:rsid w:val="140A227F"/>
    <w:rsid w:val="155A2D76"/>
    <w:rsid w:val="156648A6"/>
    <w:rsid w:val="16BA57C7"/>
    <w:rsid w:val="17255CE2"/>
    <w:rsid w:val="17C57E8F"/>
    <w:rsid w:val="18B708FC"/>
    <w:rsid w:val="18DF33AE"/>
    <w:rsid w:val="193A32DB"/>
    <w:rsid w:val="19793573"/>
    <w:rsid w:val="1B0134C7"/>
    <w:rsid w:val="1B5B1F0B"/>
    <w:rsid w:val="1B974464"/>
    <w:rsid w:val="1C381D54"/>
    <w:rsid w:val="1E766E25"/>
    <w:rsid w:val="1ECF5412"/>
    <w:rsid w:val="1F1B770B"/>
    <w:rsid w:val="1F27716D"/>
    <w:rsid w:val="1F2835FB"/>
    <w:rsid w:val="222B5EB7"/>
    <w:rsid w:val="231309DB"/>
    <w:rsid w:val="23927243"/>
    <w:rsid w:val="275A1718"/>
    <w:rsid w:val="284E3E01"/>
    <w:rsid w:val="29256301"/>
    <w:rsid w:val="293A312D"/>
    <w:rsid w:val="298A0054"/>
    <w:rsid w:val="2BCE68F9"/>
    <w:rsid w:val="2CBD577F"/>
    <w:rsid w:val="2D2B12EE"/>
    <w:rsid w:val="2D4E291C"/>
    <w:rsid w:val="2E951BE2"/>
    <w:rsid w:val="2EE23DA1"/>
    <w:rsid w:val="30281C88"/>
    <w:rsid w:val="314001AD"/>
    <w:rsid w:val="32622E41"/>
    <w:rsid w:val="34305D33"/>
    <w:rsid w:val="3542559A"/>
    <w:rsid w:val="361138EA"/>
    <w:rsid w:val="36717C3A"/>
    <w:rsid w:val="36A81093"/>
    <w:rsid w:val="383B0579"/>
    <w:rsid w:val="38F94060"/>
    <w:rsid w:val="39390EAF"/>
    <w:rsid w:val="397C63FD"/>
    <w:rsid w:val="3ADA673A"/>
    <w:rsid w:val="3C7207B9"/>
    <w:rsid w:val="3DB66286"/>
    <w:rsid w:val="3FCE14EB"/>
    <w:rsid w:val="3FE67B95"/>
    <w:rsid w:val="40466F31"/>
    <w:rsid w:val="40A86345"/>
    <w:rsid w:val="41171F8C"/>
    <w:rsid w:val="44D026C9"/>
    <w:rsid w:val="461C7016"/>
    <w:rsid w:val="48516FB5"/>
    <w:rsid w:val="49E55D20"/>
    <w:rsid w:val="4D2D269C"/>
    <w:rsid w:val="4D4654D9"/>
    <w:rsid w:val="4DC42B98"/>
    <w:rsid w:val="4F3566A8"/>
    <w:rsid w:val="4F7341AB"/>
    <w:rsid w:val="4FC05A8A"/>
    <w:rsid w:val="508D20C9"/>
    <w:rsid w:val="50F73CF5"/>
    <w:rsid w:val="51426BF5"/>
    <w:rsid w:val="516765C5"/>
    <w:rsid w:val="524A3FB4"/>
    <w:rsid w:val="5426100C"/>
    <w:rsid w:val="543B1F01"/>
    <w:rsid w:val="54FB4B73"/>
    <w:rsid w:val="57EE65C5"/>
    <w:rsid w:val="589F0F38"/>
    <w:rsid w:val="58BD730A"/>
    <w:rsid w:val="5A781F79"/>
    <w:rsid w:val="5BB97AB4"/>
    <w:rsid w:val="5BE104F0"/>
    <w:rsid w:val="5C406644"/>
    <w:rsid w:val="5CFD4994"/>
    <w:rsid w:val="5D5A04B0"/>
    <w:rsid w:val="5E1318F1"/>
    <w:rsid w:val="5E6F5F22"/>
    <w:rsid w:val="5EF852B4"/>
    <w:rsid w:val="5F44688A"/>
    <w:rsid w:val="5F455E3B"/>
    <w:rsid w:val="5F6A3C77"/>
    <w:rsid w:val="5FF741C5"/>
    <w:rsid w:val="5FFA5D1C"/>
    <w:rsid w:val="60C2635D"/>
    <w:rsid w:val="619A3EE4"/>
    <w:rsid w:val="62756CE3"/>
    <w:rsid w:val="62D578C9"/>
    <w:rsid w:val="62E81EDA"/>
    <w:rsid w:val="642F3606"/>
    <w:rsid w:val="6437655E"/>
    <w:rsid w:val="653567C5"/>
    <w:rsid w:val="66B07D06"/>
    <w:rsid w:val="66C258A6"/>
    <w:rsid w:val="67F678CE"/>
    <w:rsid w:val="684D7B1B"/>
    <w:rsid w:val="697C1471"/>
    <w:rsid w:val="69A23BBB"/>
    <w:rsid w:val="6A3D45D7"/>
    <w:rsid w:val="6A9D2AD7"/>
    <w:rsid w:val="6ADA6759"/>
    <w:rsid w:val="6BFC3C33"/>
    <w:rsid w:val="6C5479E4"/>
    <w:rsid w:val="6DA47EA6"/>
    <w:rsid w:val="6DBA43E4"/>
    <w:rsid w:val="6F337C42"/>
    <w:rsid w:val="6F8A3D0B"/>
    <w:rsid w:val="6FA128E1"/>
    <w:rsid w:val="70B61F54"/>
    <w:rsid w:val="71274159"/>
    <w:rsid w:val="71EE5DB5"/>
    <w:rsid w:val="722A0A0F"/>
    <w:rsid w:val="73876D38"/>
    <w:rsid w:val="7390229E"/>
    <w:rsid w:val="73B306C9"/>
    <w:rsid w:val="73DE3747"/>
    <w:rsid w:val="74592B90"/>
    <w:rsid w:val="74B3243B"/>
    <w:rsid w:val="758B186B"/>
    <w:rsid w:val="76860104"/>
    <w:rsid w:val="76B3384A"/>
    <w:rsid w:val="76CA0970"/>
    <w:rsid w:val="76FD3DD1"/>
    <w:rsid w:val="77120D34"/>
    <w:rsid w:val="77DB72D8"/>
    <w:rsid w:val="783509DB"/>
    <w:rsid w:val="78AF2AC3"/>
    <w:rsid w:val="78DF6ECD"/>
    <w:rsid w:val="7B3F042C"/>
    <w:rsid w:val="7B9D6653"/>
    <w:rsid w:val="7BF62240"/>
    <w:rsid w:val="7C345209"/>
    <w:rsid w:val="7DA3428D"/>
    <w:rsid w:val="7E4E1E86"/>
    <w:rsid w:val="7EBF69FC"/>
    <w:rsid w:val="7FCE4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3">
    <w:name w:val="heading 2"/>
    <w:basedOn w:val="1"/>
    <w:next w:val="1"/>
    <w:qFormat/>
    <w:uiPriority w:val="9"/>
    <w:pPr>
      <w:spacing w:before="100" w:beforeAutospacing="1" w:after="100" w:afterAutospacing="1"/>
      <w:outlineLvl w:val="1"/>
    </w:pPr>
    <w:rPr>
      <w:rFonts w:ascii="宋体" w:hAnsi="宋体"/>
      <w:b/>
      <w:bCs/>
      <w:sz w:val="36"/>
      <w:szCs w:val="36"/>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Acetate"/>
    <w:basedOn w:val="1"/>
    <w:semiHidden/>
    <w:qFormat/>
    <w:uiPriority w:val="0"/>
    <w:rPr>
      <w:sz w:val="18"/>
      <w:szCs w:val="18"/>
    </w:rPr>
  </w:style>
  <w:style w:type="paragraph" w:styleId="4">
    <w:name w:val="annotation text"/>
    <w:basedOn w:val="1"/>
    <w:qFormat/>
    <w:uiPriority w:val="0"/>
    <w:rPr>
      <w:rFonts w:eastAsia="仿宋_GB2312"/>
      <w:sz w:val="30"/>
      <w:szCs w:val="30"/>
    </w:rPr>
  </w:style>
  <w:style w:type="paragraph" w:styleId="5">
    <w:name w:val="Body Text"/>
    <w:basedOn w:val="1"/>
    <w:qFormat/>
    <w:uiPriority w:val="0"/>
    <w:pPr>
      <w:spacing w:before="120" w:after="120" w:line="400" w:lineRule="exact"/>
    </w:pPr>
    <w:rPr>
      <w:rFonts w:eastAsia="仿宋_GB2312"/>
      <w:sz w:val="24"/>
    </w:rPr>
  </w:style>
  <w:style w:type="paragraph" w:styleId="6">
    <w:name w:val="Body Text Indent"/>
    <w:basedOn w:val="1"/>
    <w:qFormat/>
    <w:uiPriority w:val="0"/>
    <w:pPr>
      <w:tabs>
        <w:tab w:val="left" w:pos="720"/>
      </w:tabs>
      <w:spacing w:before="120" w:after="120" w:line="400" w:lineRule="exact"/>
      <w:ind w:left="360"/>
    </w:pPr>
    <w:rPr>
      <w:rFonts w:eastAsia="仿宋_GB2312"/>
      <w:sz w:val="24"/>
    </w:rPr>
  </w:style>
  <w:style w:type="paragraph" w:styleId="7">
    <w:name w:val="footer"/>
    <w:basedOn w:val="1"/>
    <w:qFormat/>
    <w:uiPriority w:val="0"/>
    <w:pPr>
      <w:tabs>
        <w:tab w:val="center" w:pos="4153"/>
        <w:tab w:val="right" w:pos="8306"/>
      </w:tabs>
      <w:snapToGrid w:val="0"/>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spacing w:before="120" w:after="120" w:line="400" w:lineRule="exact"/>
    </w:pPr>
    <w:rPr>
      <w:rFonts w:ascii="宋体" w:hAnsi="宋体"/>
      <w:b/>
      <w:bCs/>
      <w:sz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font41"/>
    <w:basedOn w:val="12"/>
    <w:qFormat/>
    <w:uiPriority w:val="0"/>
    <w:rPr>
      <w:rFonts w:hint="eastAsia" w:ascii="宋体" w:hAnsi="宋体" w:eastAsia="宋体" w:cs="宋体"/>
      <w:b/>
      <w:bCs/>
      <w:color w:val="000000"/>
      <w:sz w:val="20"/>
      <w:szCs w:val="20"/>
      <w:u w:val="none"/>
    </w:rPr>
  </w:style>
  <w:style w:type="character" w:customStyle="1" w:styleId="15">
    <w:name w:val="font31"/>
    <w:basedOn w:val="12"/>
    <w:qFormat/>
    <w:uiPriority w:val="0"/>
    <w:rPr>
      <w:rFonts w:hint="eastAsia" w:ascii="宋体" w:hAnsi="宋体" w:eastAsia="宋体" w:cs="宋体"/>
      <w:color w:val="000000"/>
      <w:sz w:val="20"/>
      <w:szCs w:val="20"/>
      <w:u w:val="none"/>
    </w:rPr>
  </w:style>
  <w:style w:type="character" w:customStyle="1" w:styleId="16">
    <w:name w:val="font121"/>
    <w:basedOn w:val="12"/>
    <w:qFormat/>
    <w:uiPriority w:val="0"/>
    <w:rPr>
      <w:rFonts w:hint="eastAsia" w:ascii="宋体" w:hAnsi="宋体" w:eastAsia="宋体" w:cs="宋体"/>
      <w:color w:val="000000"/>
      <w:sz w:val="20"/>
      <w:szCs w:val="20"/>
      <w:u w:val="none"/>
      <w:vertAlign w:val="superscript"/>
    </w:rPr>
  </w:style>
  <w:style w:type="paragraph" w:customStyle="1" w:styleId="17">
    <w:name w:val="Revision"/>
    <w:hidden/>
    <w:unhideWhenUsed/>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5480</Words>
  <Characters>5578</Characters>
  <Lines>45</Lines>
  <Paragraphs>12</Paragraphs>
  <TotalTime>41</TotalTime>
  <ScaleCrop>false</ScaleCrop>
  <LinksUpToDate>false</LinksUpToDate>
  <CharactersWithSpaces>5924</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2025-11-14T09:51:00Z</dcterms:created>
  <dc:creator>陈祖珍</dc:creator>
  <cp:lastModifiedBy>Administrator</cp:lastModifiedBy>
  <cp:lastPrinted>2026-10-12T09:59:00Z</cp:lastPrinted>
  <dcterms:modified xsi:type="dcterms:W3CDTF">2026-10-12T10:13:39Z</dcterms:modified>
  <dc:title>资产评估业务约定书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5AE5C6FB37D9433F9CD94F8EAD3B7289</vt:lpwstr>
  </property>
  <property fmtid="{D5CDD505-2E9C-101B-9397-08002B2CF9AE}" pid="4" name="KSOTemplateDocerSaveRecord">
    <vt:lpwstr>eyJoZGlkIjoiOGRmOWFhMGQ4MGNkMGI2Y2UwYjdkYTM1ZGY4NDRlMTciLCJ1c2VySWQiOiIyODQ2NDAxNDYifQ==</vt:lpwstr>
  </property>
</Properties>
</file>